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EC30" w14:textId="77777777" w:rsidR="00B0604F" w:rsidRDefault="00B0604F" w:rsidP="00B0604F">
      <w:pPr>
        <w:pStyle w:val="Header"/>
        <w:jc w:val="center"/>
      </w:pPr>
      <w:r>
        <w:rPr>
          <w:noProof/>
          <w:lang w:val="en-US"/>
        </w:rPr>
        <w:drawing>
          <wp:inline distT="0" distB="0" distL="0" distR="0" wp14:anchorId="499B0055" wp14:editId="5A688CFA">
            <wp:extent cx="3652863" cy="941705"/>
            <wp:effectExtent l="0" t="0" r="508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85" cy="9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698BF" w14:textId="77777777" w:rsidR="00B0604F" w:rsidRDefault="00B0604F" w:rsidP="00B0604F">
      <w:pPr>
        <w:spacing w:after="0"/>
        <w:contextualSpacing/>
        <w:rPr>
          <w:rFonts w:ascii="Times New Roman" w:hAnsi="Times New Roman" w:cs="Times New Roman"/>
        </w:rPr>
      </w:pPr>
    </w:p>
    <w:p w14:paraId="54BEB0C6" w14:textId="77777777" w:rsidR="00B0604F" w:rsidRDefault="00B0604F" w:rsidP="00B0604F">
      <w:pPr>
        <w:spacing w:after="0"/>
        <w:contextualSpacing/>
        <w:rPr>
          <w:rFonts w:ascii="Times New Roman" w:hAnsi="Times New Roman" w:cs="Times New Roman"/>
        </w:rPr>
      </w:pPr>
    </w:p>
    <w:p w14:paraId="51534DB4" w14:textId="4E8973D6" w:rsidR="00B0604F" w:rsidRPr="00D24F3C" w:rsidRDefault="00B0604F" w:rsidP="00C36FAC">
      <w:pPr>
        <w:ind w:right="566" w:firstLine="284"/>
        <w:rPr>
          <w:rFonts w:ascii="Times New Roman" w:hAnsi="Times New Roman" w:cs="Times New Roman"/>
          <w:lang w:val="en-GB"/>
        </w:rPr>
      </w:pPr>
      <w:r w:rsidRPr="006A316F">
        <w:rPr>
          <w:rFonts w:ascii="Times New Roman" w:hAnsi="Times New Roman" w:cs="Times New Roman"/>
          <w:lang w:val="en-GB"/>
        </w:rPr>
        <w:t xml:space="preserve">Toronto, </w:t>
      </w:r>
      <w:r w:rsidR="00C36FAC">
        <w:rPr>
          <w:rFonts w:ascii="Times New Roman" w:hAnsi="Times New Roman" w:cs="Times New Roman"/>
          <w:lang w:val="en-GB"/>
        </w:rPr>
        <w:t>August 12</w:t>
      </w:r>
      <w:r w:rsidRPr="006A316F">
        <w:rPr>
          <w:rFonts w:ascii="Times New Roman" w:hAnsi="Times New Roman" w:cs="Times New Roman"/>
          <w:lang w:val="en-GB"/>
        </w:rPr>
        <w:t>, 20</w:t>
      </w:r>
      <w:r>
        <w:rPr>
          <w:rFonts w:ascii="Times New Roman" w:hAnsi="Times New Roman" w:cs="Times New Roman"/>
          <w:lang w:val="en-GB"/>
        </w:rPr>
        <w:t>2</w:t>
      </w:r>
      <w:r w:rsidR="00C36FAC">
        <w:rPr>
          <w:rFonts w:ascii="Times New Roman" w:hAnsi="Times New Roman" w:cs="Times New Roman"/>
          <w:lang w:val="en-GB"/>
        </w:rPr>
        <w:t>4</w:t>
      </w:r>
    </w:p>
    <w:p w14:paraId="6F050A11" w14:textId="77777777" w:rsidR="00B0604F" w:rsidRPr="00A95FFE" w:rsidRDefault="00B0604F" w:rsidP="00B0604F">
      <w:pPr>
        <w:spacing w:after="0" w:line="360" w:lineRule="auto"/>
        <w:ind w:right="288" w:firstLine="284"/>
        <w:contextualSpacing/>
        <w:rPr>
          <w:rFonts w:ascii="Times New Roman" w:hAnsi="Times New Roman" w:cs="Times New Roman"/>
          <w:u w:val="single"/>
        </w:rPr>
      </w:pPr>
      <w:r w:rsidRPr="00A95FFE">
        <w:rPr>
          <w:rFonts w:ascii="Times New Roman" w:hAnsi="Times New Roman" w:cs="Times New Roman"/>
          <w:u w:val="single"/>
        </w:rPr>
        <w:t>To whom it may concern</w:t>
      </w:r>
    </w:p>
    <w:p w14:paraId="728FEB89" w14:textId="77777777" w:rsidR="00C36FAC" w:rsidRDefault="00C36FAC" w:rsidP="00C36FAC">
      <w:pPr>
        <w:pStyle w:val="NormalWeb"/>
        <w:snapToGrid w:val="0"/>
        <w:spacing w:line="360" w:lineRule="auto"/>
        <w:ind w:firstLine="284"/>
      </w:pPr>
      <w:r>
        <w:t>Dear Members of the Selection Committee,</w:t>
      </w:r>
    </w:p>
    <w:p w14:paraId="164BE075" w14:textId="61E17019" w:rsidR="00C36FAC" w:rsidRDefault="00C36FAC" w:rsidP="00C36FAC">
      <w:pPr>
        <w:pStyle w:val="NormalWeb"/>
        <w:snapToGrid w:val="0"/>
        <w:spacing w:line="360" w:lineRule="auto"/>
        <w:ind w:firstLine="284"/>
        <w:jc w:val="both"/>
      </w:pPr>
      <w:r>
        <w:t xml:space="preserve">I am writing to offer my strong support for the application of </w:t>
      </w:r>
      <w:proofErr w:type="spellStart"/>
      <w:r>
        <w:t>Abolfazl</w:t>
      </w:r>
      <w:proofErr w:type="spellEnd"/>
      <w:r>
        <w:t xml:space="preserve"> Moshiri for </w:t>
      </w:r>
      <w:r>
        <w:t>“</w:t>
      </w:r>
      <w:r>
        <w:t xml:space="preserve">The </w:t>
      </w:r>
      <w:proofErr w:type="spellStart"/>
      <w:r>
        <w:t>Elahé</w:t>
      </w:r>
      <w:proofErr w:type="spellEnd"/>
      <w:r>
        <w:t xml:space="preserve"> Omidyar Mir-</w:t>
      </w:r>
      <w:proofErr w:type="spellStart"/>
      <w:r>
        <w:t>Djalali</w:t>
      </w:r>
      <w:proofErr w:type="spellEnd"/>
      <w:r>
        <w:t xml:space="preserve"> Postdoctoral Fellowship in Iranian Studies</w:t>
      </w:r>
      <w:r>
        <w:t>.”</w:t>
      </w:r>
      <w:r>
        <w:t xml:space="preserve"> As an Associate Professor of History of Zoroastrianism at the University of Toronto, I have had the privilege of knowing and working with </w:t>
      </w:r>
      <w:proofErr w:type="spellStart"/>
      <w:r>
        <w:t>Abolfazl</w:t>
      </w:r>
      <w:proofErr w:type="spellEnd"/>
      <w:r>
        <w:t xml:space="preserve"> for over ten years.</w:t>
      </w:r>
    </w:p>
    <w:p w14:paraId="77EE9B61" w14:textId="49B26A6E" w:rsidR="00C36FAC" w:rsidRDefault="00C36FAC" w:rsidP="00C36FAC">
      <w:pPr>
        <w:pStyle w:val="NormalWeb"/>
        <w:snapToGrid w:val="0"/>
        <w:spacing w:line="360" w:lineRule="auto"/>
        <w:ind w:firstLine="284"/>
        <w:jc w:val="both"/>
      </w:pPr>
      <w:r>
        <w:t xml:space="preserve">During his time as a </w:t>
      </w:r>
      <w:proofErr w:type="gramStart"/>
      <w:r>
        <w:t>Master’s</w:t>
      </w:r>
      <w:proofErr w:type="gramEnd"/>
      <w:r>
        <w:t xml:space="preserve"> student and in the early stages of his doctoral studies, </w:t>
      </w:r>
      <w:proofErr w:type="spellStart"/>
      <w:r>
        <w:t>Abolfazl</w:t>
      </w:r>
      <w:proofErr w:type="spellEnd"/>
      <w:r>
        <w:t xml:space="preserve"> took several of my graduate courses on Zoroastrianism. I also serv</w:t>
      </w:r>
      <w:r>
        <w:t>ed</w:t>
      </w:r>
      <w:r>
        <w:t xml:space="preserve"> as the secondary supervisor for his doctoral thesis, titled “The Devil’s Advocates: The Exoneration of Iblis in Persian Mysticism,” which he successfully defended in August 2021.</w:t>
      </w:r>
    </w:p>
    <w:p w14:paraId="17CBBEE5" w14:textId="25080CEA" w:rsidR="00C36FAC" w:rsidRDefault="00C36FAC" w:rsidP="00C36FAC">
      <w:pPr>
        <w:pStyle w:val="NormalWeb"/>
        <w:snapToGrid w:val="0"/>
        <w:spacing w:line="360" w:lineRule="auto"/>
        <w:ind w:firstLine="284"/>
        <w:jc w:val="both"/>
      </w:pPr>
      <w:proofErr w:type="spellStart"/>
      <w:r>
        <w:t>Abolfazl</w:t>
      </w:r>
      <w:proofErr w:type="spellEnd"/>
      <w:r>
        <w:t xml:space="preserve"> is an </w:t>
      </w:r>
      <w:r>
        <w:t>excellent</w:t>
      </w:r>
      <w:r>
        <w:t xml:space="preserve"> scholar, distinguished by his diligence, insight, and mature approach to research. His deep knowledge of Persian mystical literature is complemented by a strong foundation in pre-Islamic Iranian literature. His work reflects a keen interest in exploring the continuity between pre-Islamic and Islamic Iranian civilizations. A significant portion of his thesis is devoted to examining the commonalities between the depiction of demonic entities in pre-Islamic Iranian literature and the representation of the devil in Islamic mystical literature. This aspect of his work showcases his in-depth understanding of classical Persian language and literature, as well as his masterful command of primary sources.</w:t>
      </w:r>
    </w:p>
    <w:p w14:paraId="7E6704F8" w14:textId="77777777" w:rsidR="00C36FAC" w:rsidRDefault="00C36FAC" w:rsidP="00C36FAC">
      <w:pPr>
        <w:pStyle w:val="NormalWeb"/>
        <w:snapToGrid w:val="0"/>
        <w:spacing w:line="360" w:lineRule="auto"/>
        <w:ind w:firstLine="284"/>
        <w:jc w:val="both"/>
      </w:pPr>
      <w:proofErr w:type="spellStart"/>
      <w:r>
        <w:t>Abolfazl’s</w:t>
      </w:r>
      <w:proofErr w:type="spellEnd"/>
      <w:r>
        <w:t xml:space="preserve"> thesis makes a significant contribution to the study of Classical Persian literature and Islamic demonology. By addressing both pre-Islamic and Islamic periods, his research bridges a critical gap in the study of Iranian literatures and culture.</w:t>
      </w:r>
    </w:p>
    <w:p w14:paraId="51369D9F" w14:textId="57551BBC" w:rsidR="00C36FAC" w:rsidRDefault="00C36FAC" w:rsidP="00C36FAC">
      <w:pPr>
        <w:pStyle w:val="NormalWeb"/>
        <w:snapToGrid w:val="0"/>
        <w:spacing w:line="360" w:lineRule="auto"/>
        <w:ind w:firstLine="284"/>
        <w:jc w:val="both"/>
      </w:pPr>
      <w:r>
        <w:lastRenderedPageBreak/>
        <w:t xml:space="preserve">Given his solid academic training, wide-ranging scholarly interests, and proven research abilities, I am confident that </w:t>
      </w:r>
      <w:proofErr w:type="spellStart"/>
      <w:r>
        <w:t>Abolfazl</w:t>
      </w:r>
      <w:proofErr w:type="spellEnd"/>
      <w:r>
        <w:t xml:space="preserve"> will make substantial contributions to the field of Classical Persian literature and culture. I strongly support his application for this fellowship and believe he would be an </w:t>
      </w:r>
      <w:r>
        <w:t>excellent</w:t>
      </w:r>
      <w:r>
        <w:t xml:space="preserve"> recipient.</w:t>
      </w:r>
    </w:p>
    <w:p w14:paraId="27A3C9C4" w14:textId="7715F01B" w:rsidR="00B0604F" w:rsidRPr="00C36FAC" w:rsidRDefault="00C36FAC" w:rsidP="00C36FAC">
      <w:pPr>
        <w:pStyle w:val="NormalWeb"/>
        <w:adjustRightInd w:val="0"/>
        <w:snapToGrid w:val="0"/>
        <w:spacing w:line="360" w:lineRule="auto"/>
        <w:ind w:firstLine="284"/>
      </w:pPr>
      <w:r>
        <w:t>Thank you for considering his application.</w:t>
      </w:r>
    </w:p>
    <w:p w14:paraId="51803008" w14:textId="351C67D0" w:rsidR="00B0604F" w:rsidRDefault="00B0604F" w:rsidP="00B0604F">
      <w:pPr>
        <w:spacing w:after="0" w:line="360" w:lineRule="auto"/>
        <w:ind w:right="288" w:firstLine="284"/>
        <w:contextualSpacing/>
        <w:jc w:val="both"/>
        <w:rPr>
          <w:rFonts w:ascii="Times New Roman" w:hAnsi="Times New Roman" w:cs="Times New Roman"/>
          <w:lang w:val="it-IT"/>
        </w:rPr>
      </w:pPr>
      <w:r w:rsidRPr="00B46F4F">
        <w:rPr>
          <w:rFonts w:ascii="Times New Roman" w:hAnsi="Times New Roman" w:cs="Times New Roman"/>
          <w:lang w:val="it-IT"/>
        </w:rPr>
        <w:t xml:space="preserve">Best </w:t>
      </w:r>
      <w:proofErr w:type="spellStart"/>
      <w:r w:rsidRPr="00B46F4F">
        <w:rPr>
          <w:rFonts w:ascii="Times New Roman" w:hAnsi="Times New Roman" w:cs="Times New Roman"/>
          <w:lang w:val="it-IT"/>
        </w:rPr>
        <w:t>regards</w:t>
      </w:r>
      <w:proofErr w:type="spellEnd"/>
      <w:r w:rsidRPr="00B46F4F">
        <w:rPr>
          <w:rFonts w:ascii="Times New Roman" w:hAnsi="Times New Roman" w:cs="Times New Roman"/>
          <w:lang w:val="it-IT"/>
        </w:rPr>
        <w:t>,</w:t>
      </w:r>
    </w:p>
    <w:p w14:paraId="1DC77726" w14:textId="0832A574" w:rsidR="00B0604F" w:rsidRPr="00B46F4F" w:rsidRDefault="00B0604F" w:rsidP="00B0604F">
      <w:pPr>
        <w:spacing w:after="0" w:line="360" w:lineRule="auto"/>
        <w:ind w:right="288" w:firstLine="284"/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noProof/>
          <w:lang w:eastAsia="en-US"/>
        </w:rPr>
        <w:drawing>
          <wp:inline distT="0" distB="0" distL="0" distR="0" wp14:anchorId="1A0212E8" wp14:editId="5C9C17DC">
            <wp:extent cx="1561011" cy="322344"/>
            <wp:effectExtent l="0" t="0" r="0" b="8255"/>
            <wp:docPr id="1" name="Picture 1" descr="A picture containing chain, metal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in, metalwar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945" cy="32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F75DA" w14:textId="77777777" w:rsidR="00B0604F" w:rsidRPr="00C36FAC" w:rsidRDefault="00B0604F" w:rsidP="00B0604F">
      <w:pPr>
        <w:spacing w:after="0" w:line="360" w:lineRule="auto"/>
        <w:ind w:right="288" w:firstLine="284"/>
        <w:contextualSpacing/>
        <w:jc w:val="both"/>
        <w:rPr>
          <w:rFonts w:ascii="Times New Roman" w:hAnsi="Times New Roman" w:cs="Times New Roman"/>
          <w:lang w:val="en-CA"/>
        </w:rPr>
      </w:pPr>
      <w:r w:rsidRPr="00C36FAC">
        <w:rPr>
          <w:rFonts w:ascii="Times New Roman" w:hAnsi="Times New Roman" w:cs="Times New Roman"/>
          <w:lang w:val="en-CA"/>
        </w:rPr>
        <w:t xml:space="preserve">Enrico G. </w:t>
      </w:r>
      <w:proofErr w:type="spellStart"/>
      <w:r w:rsidRPr="00C36FAC">
        <w:rPr>
          <w:rFonts w:ascii="Times New Roman" w:hAnsi="Times New Roman" w:cs="Times New Roman"/>
          <w:lang w:val="en-CA"/>
        </w:rPr>
        <w:t>Raffaelli</w:t>
      </w:r>
      <w:proofErr w:type="spellEnd"/>
    </w:p>
    <w:p w14:paraId="751908F4" w14:textId="77777777" w:rsidR="00B0604F" w:rsidRPr="00C36FAC" w:rsidRDefault="00B0604F" w:rsidP="00B0604F">
      <w:pPr>
        <w:spacing w:after="0"/>
        <w:ind w:right="288" w:firstLine="284"/>
        <w:contextualSpacing/>
        <w:jc w:val="both"/>
        <w:rPr>
          <w:rFonts w:ascii="Times New Roman" w:hAnsi="Times New Roman" w:cs="Times New Roman"/>
          <w:lang w:val="en-CA"/>
        </w:rPr>
      </w:pPr>
      <w:r w:rsidRPr="00C36FAC">
        <w:rPr>
          <w:rFonts w:ascii="Times New Roman" w:hAnsi="Times New Roman" w:cs="Times New Roman"/>
          <w:lang w:val="en-CA"/>
        </w:rPr>
        <w:t xml:space="preserve">Associate Professor </w:t>
      </w:r>
    </w:p>
    <w:p w14:paraId="5C7973E5" w14:textId="77777777" w:rsidR="00B0604F" w:rsidRDefault="00B0604F" w:rsidP="00B0604F">
      <w:pPr>
        <w:spacing w:after="0"/>
        <w:ind w:right="288" w:firstLine="284"/>
        <w:contextualSpacing/>
        <w:jc w:val="both"/>
        <w:rPr>
          <w:rFonts w:ascii="Times New Roman" w:hAnsi="Times New Roman" w:cs="Times New Roman"/>
          <w:lang w:val="en-CA"/>
        </w:rPr>
      </w:pPr>
      <w:r w:rsidRPr="0034665E">
        <w:rPr>
          <w:rFonts w:ascii="Times New Roman" w:hAnsi="Times New Roman" w:cs="Times New Roman"/>
          <w:lang w:val="en-CA"/>
        </w:rPr>
        <w:t xml:space="preserve">Department of </w:t>
      </w:r>
      <w:r>
        <w:rPr>
          <w:rFonts w:ascii="Times New Roman" w:hAnsi="Times New Roman" w:cs="Times New Roman"/>
          <w:lang w:val="en-CA"/>
        </w:rPr>
        <w:t>Historical Studies</w:t>
      </w:r>
    </w:p>
    <w:p w14:paraId="3A6010C0" w14:textId="77777777" w:rsidR="00B0604F" w:rsidRDefault="00B0604F" w:rsidP="00B0604F">
      <w:pPr>
        <w:spacing w:after="0"/>
        <w:ind w:right="288" w:firstLine="284"/>
        <w:contextualSpacing/>
        <w:jc w:val="both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3359 Mississauga Road</w:t>
      </w:r>
    </w:p>
    <w:p w14:paraId="126F798F" w14:textId="77777777" w:rsidR="00B0604F" w:rsidRPr="00C317F1" w:rsidRDefault="00B0604F" w:rsidP="00B0604F">
      <w:pPr>
        <w:spacing w:after="0"/>
        <w:ind w:right="288" w:firstLine="284"/>
        <w:contextualSpacing/>
        <w:jc w:val="both"/>
        <w:rPr>
          <w:rFonts w:ascii="Times New Roman" w:hAnsi="Times New Roman" w:cs="Times New Roman"/>
          <w:lang w:val="it-IT"/>
        </w:rPr>
      </w:pPr>
      <w:r w:rsidRPr="00C317F1">
        <w:rPr>
          <w:rFonts w:ascii="Times New Roman" w:hAnsi="Times New Roman" w:cs="Times New Roman"/>
          <w:lang w:val="it-IT"/>
        </w:rPr>
        <w:t>Mississauga, Ontario, L5L1C6 Canada</w:t>
      </w:r>
    </w:p>
    <w:p w14:paraId="59971453" w14:textId="77777777" w:rsidR="00B0604F" w:rsidRPr="00C317F1" w:rsidRDefault="00B0604F" w:rsidP="00B0604F">
      <w:pPr>
        <w:spacing w:after="0"/>
        <w:ind w:firstLine="284"/>
        <w:rPr>
          <w:rFonts w:ascii="Times New Roman" w:eastAsia="Times New Roman" w:hAnsi="Times New Roman" w:cs="Times New Roman"/>
          <w:lang w:val="it-IT" w:eastAsia="en-US"/>
        </w:rPr>
      </w:pPr>
    </w:p>
    <w:p w14:paraId="13F3A8E5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05A30C85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5B240E0D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113BEA5B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429A7289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3A28C491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4909BD80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15B7B4A4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4399A296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7FF385E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15227339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65AB1BF6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05C866E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289E108A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52ED4B3C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46C131D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12622F6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5F183911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3F522B33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4E501E31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2A30F65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4928E79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3570B0AB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3F365B93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2363ECDF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4B82F204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98B5678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18143AF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070E87CA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537C038F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57A1611C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6517590B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4BBFEE16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1D1D9BD5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13F00C0E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B0B281C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60EAEC2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2C533A98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0FFBA546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44002FEB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563B1AC5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347ECD96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FA1BB0C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A91A71A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40C49871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5118F49A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456C91B6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11EBDD1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4364FECD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148FCC53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6B9E5B6D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3526452E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1838D4CC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57485CD7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0E1E8FEE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45845F8C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02525FA5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2D2BF1FE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09EF67D5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406F1698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00C29240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43714A3C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6C39C759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FA187AE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2DF2335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55691FA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152B090D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2F06FA7C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39C43AD1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3811409D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08E894F7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5DA7779C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7CA47821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4CA18FBC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</w:p>
    <w:p w14:paraId="6D1401FA" w14:textId="77777777" w:rsidR="00B0604F" w:rsidRPr="00C317F1" w:rsidRDefault="00B0604F" w:rsidP="00B0604F">
      <w:pPr>
        <w:autoSpaceDE w:val="0"/>
        <w:autoSpaceDN w:val="0"/>
        <w:adjustRightInd w:val="0"/>
        <w:spacing w:after="0"/>
        <w:rPr>
          <w:rFonts w:ascii="Garamond" w:hAnsi="Garamond" w:cs="Times New Roman"/>
          <w:color w:val="666A7F"/>
          <w:sz w:val="14"/>
          <w:szCs w:val="14"/>
          <w:lang w:val="it-IT"/>
        </w:rPr>
      </w:pPr>
      <w:proofErr w:type="spellStart"/>
      <w:r w:rsidRPr="00C317F1">
        <w:rPr>
          <w:rFonts w:ascii="Garamond" w:hAnsi="Garamond" w:cs="Times New Roman"/>
          <w:color w:val="666A7F"/>
          <w:sz w:val="14"/>
          <w:szCs w:val="14"/>
          <w:lang w:val="it-IT"/>
        </w:rPr>
        <w:t>Maanjiwe</w:t>
      </w:r>
      <w:proofErr w:type="spellEnd"/>
      <w:r w:rsidRPr="00C317F1">
        <w:rPr>
          <w:rFonts w:ascii="Garamond" w:hAnsi="Garamond" w:cs="Times New Roman"/>
          <w:color w:val="666A7F"/>
          <w:sz w:val="14"/>
          <w:szCs w:val="14"/>
          <w:lang w:val="it-IT"/>
        </w:rPr>
        <w:t xml:space="preserve"> </w:t>
      </w:r>
      <w:proofErr w:type="spellStart"/>
      <w:r w:rsidRPr="00C317F1">
        <w:rPr>
          <w:rFonts w:ascii="Garamond" w:hAnsi="Garamond" w:cs="Times New Roman"/>
          <w:color w:val="666A7F"/>
          <w:sz w:val="14"/>
          <w:szCs w:val="14"/>
          <w:lang w:val="it-IT"/>
        </w:rPr>
        <w:t>nendamowinan</w:t>
      </w:r>
      <w:proofErr w:type="spellEnd"/>
      <w:r w:rsidRPr="00C317F1">
        <w:rPr>
          <w:rFonts w:ascii="Garamond" w:hAnsi="Garamond" w:cs="Times New Roman"/>
          <w:color w:val="666A7F"/>
          <w:sz w:val="14"/>
          <w:szCs w:val="14"/>
          <w:lang w:val="it-IT"/>
        </w:rPr>
        <w:t xml:space="preserve">, </w:t>
      </w:r>
      <w:r w:rsidRPr="00C317F1">
        <w:rPr>
          <w:rFonts w:ascii="Garamond" w:hAnsi="Garamond" w:cs="Times New Roman"/>
          <w:color w:val="7C8192"/>
          <w:sz w:val="14"/>
          <w:szCs w:val="14"/>
          <w:lang w:val="it-IT"/>
        </w:rPr>
        <w:t xml:space="preserve">3359 </w:t>
      </w:r>
      <w:r w:rsidRPr="00C317F1">
        <w:rPr>
          <w:rFonts w:ascii="Garamond" w:hAnsi="Garamond" w:cs="Times New Roman"/>
          <w:color w:val="4A5470"/>
          <w:sz w:val="14"/>
          <w:szCs w:val="14"/>
          <w:lang w:val="it-IT"/>
        </w:rPr>
        <w:t>Mi</w:t>
      </w:r>
      <w:r w:rsidRPr="00C317F1">
        <w:rPr>
          <w:rFonts w:ascii="Garamond" w:hAnsi="Garamond" w:cs="Times New Roman"/>
          <w:color w:val="7C8192"/>
          <w:sz w:val="14"/>
          <w:szCs w:val="14"/>
          <w:lang w:val="it-IT"/>
        </w:rPr>
        <w:t>ss</w:t>
      </w:r>
      <w:r w:rsidRPr="00C317F1">
        <w:rPr>
          <w:rFonts w:ascii="Garamond" w:hAnsi="Garamond" w:cs="Times New Roman"/>
          <w:color w:val="4A5470"/>
          <w:sz w:val="14"/>
          <w:szCs w:val="14"/>
          <w:lang w:val="it-IT"/>
        </w:rPr>
        <w:t>i</w:t>
      </w:r>
      <w:r w:rsidRPr="00C317F1">
        <w:rPr>
          <w:rFonts w:ascii="Garamond" w:hAnsi="Garamond" w:cs="Times New Roman"/>
          <w:color w:val="7C8192"/>
          <w:sz w:val="14"/>
          <w:szCs w:val="14"/>
          <w:lang w:val="it-IT"/>
        </w:rPr>
        <w:t>ssa</w:t>
      </w:r>
      <w:r w:rsidRPr="00C317F1">
        <w:rPr>
          <w:rFonts w:ascii="Garamond" w:hAnsi="Garamond" w:cs="Times New Roman"/>
          <w:color w:val="4A5470"/>
          <w:sz w:val="14"/>
          <w:szCs w:val="14"/>
          <w:lang w:val="it-IT"/>
        </w:rPr>
        <w:t>u</w:t>
      </w:r>
      <w:r w:rsidRPr="00C317F1">
        <w:rPr>
          <w:rFonts w:ascii="Garamond" w:hAnsi="Garamond" w:cs="Times New Roman"/>
          <w:color w:val="666A7F"/>
          <w:sz w:val="14"/>
          <w:szCs w:val="14"/>
          <w:lang w:val="it-IT"/>
        </w:rPr>
        <w:t xml:space="preserve">ga </w:t>
      </w:r>
      <w:r w:rsidRPr="00C317F1">
        <w:rPr>
          <w:rFonts w:ascii="Garamond" w:hAnsi="Garamond" w:cs="Times New Roman"/>
          <w:color w:val="4A5470"/>
          <w:sz w:val="14"/>
          <w:szCs w:val="14"/>
          <w:lang w:val="it-IT"/>
        </w:rPr>
        <w:t>R</w:t>
      </w:r>
      <w:r w:rsidRPr="00C317F1">
        <w:rPr>
          <w:rFonts w:ascii="Garamond" w:hAnsi="Garamond" w:cs="Times New Roman"/>
          <w:color w:val="666A7F"/>
          <w:sz w:val="14"/>
          <w:szCs w:val="14"/>
          <w:lang w:val="it-IT"/>
        </w:rPr>
        <w:t>oa</w:t>
      </w:r>
      <w:r w:rsidRPr="00C317F1">
        <w:rPr>
          <w:rFonts w:ascii="Garamond" w:hAnsi="Garamond" w:cs="Times New Roman"/>
          <w:color w:val="4A5470"/>
          <w:sz w:val="14"/>
          <w:szCs w:val="14"/>
          <w:lang w:val="it-IT"/>
        </w:rPr>
        <w:t>d</w:t>
      </w:r>
      <w:r w:rsidRPr="00C317F1">
        <w:rPr>
          <w:rFonts w:ascii="Garamond" w:hAnsi="Garamond" w:cs="Times New Roman"/>
          <w:color w:val="7C8192"/>
          <w:sz w:val="14"/>
          <w:szCs w:val="14"/>
          <w:lang w:val="it-IT"/>
        </w:rPr>
        <w:t xml:space="preserve">, </w:t>
      </w:r>
      <w:r w:rsidRPr="00C317F1">
        <w:rPr>
          <w:rFonts w:ascii="Garamond" w:hAnsi="Garamond" w:cs="Times New Roman"/>
          <w:color w:val="4A5470"/>
          <w:sz w:val="14"/>
          <w:szCs w:val="14"/>
          <w:lang w:val="it-IT"/>
        </w:rPr>
        <w:t>Mi</w:t>
      </w:r>
      <w:r w:rsidRPr="00C317F1">
        <w:rPr>
          <w:rFonts w:ascii="Garamond" w:hAnsi="Garamond" w:cs="Times New Roman"/>
          <w:color w:val="666A7F"/>
          <w:sz w:val="14"/>
          <w:szCs w:val="14"/>
          <w:lang w:val="it-IT"/>
        </w:rPr>
        <w:t>ss</w:t>
      </w:r>
      <w:r w:rsidRPr="00C317F1">
        <w:rPr>
          <w:rFonts w:ascii="Garamond" w:hAnsi="Garamond" w:cs="Times New Roman"/>
          <w:color w:val="4A5470"/>
          <w:sz w:val="14"/>
          <w:szCs w:val="14"/>
          <w:lang w:val="it-IT"/>
        </w:rPr>
        <w:t>i</w:t>
      </w:r>
      <w:r w:rsidRPr="00C317F1">
        <w:rPr>
          <w:rFonts w:ascii="Garamond" w:hAnsi="Garamond" w:cs="Times New Roman"/>
          <w:color w:val="7C8192"/>
          <w:sz w:val="14"/>
          <w:szCs w:val="14"/>
          <w:lang w:val="it-IT"/>
        </w:rPr>
        <w:t>ssa</w:t>
      </w:r>
      <w:r w:rsidRPr="00C317F1">
        <w:rPr>
          <w:rFonts w:ascii="Garamond" w:hAnsi="Garamond" w:cs="Times New Roman"/>
          <w:color w:val="4A5470"/>
          <w:sz w:val="14"/>
          <w:szCs w:val="14"/>
          <w:lang w:val="it-IT"/>
        </w:rPr>
        <w:t>u</w:t>
      </w:r>
      <w:r w:rsidRPr="00C317F1">
        <w:rPr>
          <w:rFonts w:ascii="Garamond" w:hAnsi="Garamond" w:cs="Times New Roman"/>
          <w:color w:val="666A7F"/>
          <w:sz w:val="14"/>
          <w:szCs w:val="14"/>
          <w:lang w:val="it-IT"/>
        </w:rPr>
        <w:t>ga, O</w:t>
      </w:r>
      <w:r w:rsidRPr="00C317F1">
        <w:rPr>
          <w:rFonts w:ascii="Garamond" w:hAnsi="Garamond" w:cs="Times New Roman"/>
          <w:color w:val="4A5470"/>
          <w:sz w:val="14"/>
          <w:szCs w:val="14"/>
          <w:lang w:val="it-IT"/>
        </w:rPr>
        <w:t>nt</w:t>
      </w:r>
      <w:r w:rsidRPr="00C317F1">
        <w:rPr>
          <w:rFonts w:ascii="Garamond" w:hAnsi="Garamond" w:cs="Times New Roman"/>
          <w:color w:val="666A7F"/>
          <w:sz w:val="14"/>
          <w:szCs w:val="14"/>
          <w:lang w:val="it-IT"/>
        </w:rPr>
        <w:t>a</w:t>
      </w:r>
      <w:r w:rsidRPr="00C317F1">
        <w:rPr>
          <w:rFonts w:ascii="Garamond" w:hAnsi="Garamond" w:cs="Times New Roman"/>
          <w:color w:val="4A5470"/>
          <w:sz w:val="14"/>
          <w:szCs w:val="14"/>
          <w:lang w:val="it-IT"/>
        </w:rPr>
        <w:t>ri</w:t>
      </w:r>
      <w:r w:rsidRPr="00C317F1">
        <w:rPr>
          <w:rFonts w:ascii="Garamond" w:hAnsi="Garamond" w:cs="Times New Roman"/>
          <w:color w:val="666A7F"/>
          <w:sz w:val="14"/>
          <w:szCs w:val="14"/>
          <w:lang w:val="it-IT"/>
        </w:rPr>
        <w:t xml:space="preserve">o, </w:t>
      </w:r>
      <w:r w:rsidRPr="00C317F1">
        <w:rPr>
          <w:rFonts w:ascii="Garamond" w:hAnsi="Garamond" w:cs="Times New Roman"/>
          <w:color w:val="4A5470"/>
          <w:sz w:val="14"/>
          <w:szCs w:val="14"/>
          <w:lang w:val="it-IT"/>
        </w:rPr>
        <w:t>L</w:t>
      </w:r>
      <w:r w:rsidRPr="00C317F1">
        <w:rPr>
          <w:rFonts w:ascii="Garamond" w:hAnsi="Garamond" w:cs="Times New Roman"/>
          <w:color w:val="666A7F"/>
          <w:sz w:val="14"/>
          <w:szCs w:val="14"/>
          <w:lang w:val="it-IT"/>
        </w:rPr>
        <w:t>5</w:t>
      </w:r>
      <w:r w:rsidRPr="00C317F1">
        <w:rPr>
          <w:rFonts w:ascii="Garamond" w:hAnsi="Garamond" w:cs="Times New Roman"/>
          <w:color w:val="4A5470"/>
          <w:sz w:val="14"/>
          <w:szCs w:val="14"/>
          <w:lang w:val="it-IT"/>
        </w:rPr>
        <w:t>L 1</w:t>
      </w:r>
      <w:r w:rsidRPr="00C317F1">
        <w:rPr>
          <w:rFonts w:ascii="Garamond" w:hAnsi="Garamond" w:cs="Times New Roman"/>
          <w:color w:val="666A7F"/>
          <w:sz w:val="14"/>
          <w:szCs w:val="14"/>
          <w:lang w:val="it-IT"/>
        </w:rPr>
        <w:t>C6 Ca</w:t>
      </w:r>
      <w:r w:rsidRPr="00C317F1">
        <w:rPr>
          <w:rFonts w:ascii="Garamond" w:hAnsi="Garamond" w:cs="Times New Roman"/>
          <w:color w:val="4A5470"/>
          <w:sz w:val="14"/>
          <w:szCs w:val="14"/>
          <w:lang w:val="it-IT"/>
        </w:rPr>
        <w:t>n</w:t>
      </w:r>
      <w:r w:rsidRPr="00C317F1">
        <w:rPr>
          <w:rFonts w:ascii="Garamond" w:hAnsi="Garamond" w:cs="Times New Roman"/>
          <w:color w:val="666A7F"/>
          <w:sz w:val="14"/>
          <w:szCs w:val="14"/>
          <w:lang w:val="it-IT"/>
        </w:rPr>
        <w:t>ada</w:t>
      </w:r>
    </w:p>
    <w:p w14:paraId="339CB621" w14:textId="77777777" w:rsidR="00B0604F" w:rsidRPr="00ED3268" w:rsidRDefault="00B0604F" w:rsidP="00B0604F">
      <w:pPr>
        <w:pStyle w:val="Footer"/>
        <w:rPr>
          <w:rFonts w:ascii="Garamond" w:hAnsi="Garamond"/>
        </w:rPr>
      </w:pPr>
      <w:r w:rsidRPr="00BE2F89">
        <w:rPr>
          <w:rFonts w:ascii="Garamond" w:hAnsi="Garamond" w:cs="Times New Roman"/>
          <w:color w:val="666A7F"/>
          <w:sz w:val="14"/>
          <w:szCs w:val="14"/>
        </w:rPr>
        <w:t>Te</w:t>
      </w:r>
      <w:r w:rsidRPr="00BE2F89">
        <w:rPr>
          <w:rFonts w:ascii="Garamond" w:hAnsi="Garamond" w:cs="Times New Roman"/>
          <w:color w:val="4A5470"/>
          <w:sz w:val="14"/>
          <w:szCs w:val="14"/>
        </w:rPr>
        <w:t>l</w:t>
      </w:r>
      <w:r w:rsidRPr="00BE2F89">
        <w:rPr>
          <w:rFonts w:ascii="Garamond" w:hAnsi="Garamond" w:cs="Times New Roman"/>
          <w:color w:val="383B49"/>
          <w:sz w:val="14"/>
          <w:szCs w:val="14"/>
        </w:rPr>
        <w:t xml:space="preserve">: </w:t>
      </w:r>
      <w:r w:rsidRPr="00BE2F89">
        <w:rPr>
          <w:rFonts w:ascii="Garamond" w:hAnsi="Garamond" w:cs="Times New Roman"/>
          <w:color w:val="666A7F"/>
          <w:sz w:val="14"/>
          <w:szCs w:val="14"/>
        </w:rPr>
        <w:t xml:space="preserve">+1 905 569-4492 </w:t>
      </w:r>
      <w:r w:rsidRPr="00BE2F89">
        <w:rPr>
          <w:rFonts w:ascii="Garamond" w:hAnsi="Garamond" w:cs="Times New Roman"/>
          <w:color w:val="4A5470"/>
          <w:sz w:val="14"/>
          <w:szCs w:val="14"/>
        </w:rPr>
        <w:t xml:space="preserve">• </w:t>
      </w:r>
      <w:r w:rsidRPr="00BE2F89">
        <w:rPr>
          <w:rFonts w:ascii="Garamond" w:hAnsi="Garamond" w:cs="Times New Roman"/>
          <w:color w:val="666A7F"/>
          <w:sz w:val="14"/>
          <w:szCs w:val="14"/>
        </w:rPr>
        <w:t>Fax</w:t>
      </w:r>
      <w:r w:rsidRPr="00BE2F89">
        <w:rPr>
          <w:rFonts w:ascii="Garamond" w:hAnsi="Garamond" w:cs="Times New Roman"/>
          <w:color w:val="4A5470"/>
          <w:sz w:val="14"/>
          <w:szCs w:val="14"/>
        </w:rPr>
        <w:t xml:space="preserve">: </w:t>
      </w:r>
      <w:r w:rsidRPr="00BE2F89">
        <w:rPr>
          <w:rFonts w:ascii="Garamond" w:hAnsi="Garamond" w:cs="Times New Roman"/>
          <w:color w:val="666A7F"/>
          <w:sz w:val="14"/>
          <w:szCs w:val="14"/>
        </w:rPr>
        <w:t xml:space="preserve">+1 905 569-4412 </w:t>
      </w:r>
      <w:r w:rsidRPr="00BE2F89">
        <w:rPr>
          <w:rFonts w:ascii="Garamond" w:hAnsi="Garamond" w:cs="Times New Roman"/>
          <w:color w:val="4A5470"/>
          <w:sz w:val="14"/>
          <w:szCs w:val="14"/>
        </w:rPr>
        <w:t xml:space="preserve">• </w:t>
      </w:r>
      <w:r>
        <w:rPr>
          <w:rFonts w:ascii="Garamond" w:hAnsi="Garamond" w:cs="Times New Roman"/>
          <w:color w:val="4A5470"/>
          <w:sz w:val="14"/>
          <w:szCs w:val="14"/>
        </w:rPr>
        <w:t>historical.studies</w:t>
      </w:r>
      <w:r w:rsidRPr="00BE2F89">
        <w:rPr>
          <w:rFonts w:ascii="Garamond" w:hAnsi="Garamond" w:cs="Times New Roman"/>
          <w:color w:val="666A7F"/>
          <w:sz w:val="14"/>
          <w:szCs w:val="14"/>
        </w:rPr>
        <w:t>@</w:t>
      </w:r>
      <w:r w:rsidRPr="00BE2F89">
        <w:rPr>
          <w:rFonts w:ascii="Garamond" w:hAnsi="Garamond" w:cs="Times New Roman"/>
          <w:color w:val="4A5470"/>
          <w:sz w:val="14"/>
          <w:szCs w:val="14"/>
        </w:rPr>
        <w:t>u</w:t>
      </w:r>
      <w:r w:rsidRPr="00BE2F89">
        <w:rPr>
          <w:rFonts w:ascii="Garamond" w:hAnsi="Garamond" w:cs="Times New Roman"/>
          <w:color w:val="666A7F"/>
          <w:sz w:val="14"/>
          <w:szCs w:val="14"/>
        </w:rPr>
        <w:t>toronto.ca</w:t>
      </w:r>
    </w:p>
    <w:p w14:paraId="1E03CF74" w14:textId="77777777" w:rsidR="00B0604F" w:rsidRDefault="00B0604F" w:rsidP="00B0604F"/>
    <w:p w14:paraId="133A6937" w14:textId="77777777" w:rsidR="00B0604F" w:rsidRDefault="00B0604F" w:rsidP="00B0604F"/>
    <w:p w14:paraId="42E30ED0" w14:textId="77777777" w:rsidR="001E5E3B" w:rsidRDefault="001E5E3B"/>
    <w:sectPr w:rsidR="001E5E3B" w:rsidSect="00B0604F">
      <w:pgSz w:w="12240" w:h="15840"/>
      <w:pgMar w:top="1440" w:right="1440" w:bottom="17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4F"/>
    <w:rsid w:val="00042066"/>
    <w:rsid w:val="00073159"/>
    <w:rsid w:val="000962EA"/>
    <w:rsid w:val="001D211C"/>
    <w:rsid w:val="001E5E3B"/>
    <w:rsid w:val="00270E79"/>
    <w:rsid w:val="002F42AE"/>
    <w:rsid w:val="00587F1F"/>
    <w:rsid w:val="005D6533"/>
    <w:rsid w:val="00660E23"/>
    <w:rsid w:val="007C2E2E"/>
    <w:rsid w:val="008B28DE"/>
    <w:rsid w:val="00967FD1"/>
    <w:rsid w:val="00977E2A"/>
    <w:rsid w:val="009C3F65"/>
    <w:rsid w:val="00AB3F24"/>
    <w:rsid w:val="00AC40A0"/>
    <w:rsid w:val="00B0604F"/>
    <w:rsid w:val="00B25004"/>
    <w:rsid w:val="00C002B9"/>
    <w:rsid w:val="00C36FAC"/>
    <w:rsid w:val="00C73080"/>
    <w:rsid w:val="00CE3B07"/>
    <w:rsid w:val="00D47F94"/>
    <w:rsid w:val="00E6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EF58F"/>
  <w15:chartTrackingRefBased/>
  <w15:docId w15:val="{24030EF3-4BB7-B74B-86A3-4B00AE60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4F"/>
    <w:pPr>
      <w:spacing w:after="200"/>
    </w:pPr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4F"/>
    <w:pPr>
      <w:tabs>
        <w:tab w:val="center" w:pos="4680"/>
        <w:tab w:val="right" w:pos="9360"/>
      </w:tabs>
      <w:spacing w:after="0"/>
    </w:pPr>
    <w:rPr>
      <w:rFonts w:eastAsiaTheme="minorHAnsi"/>
      <w:sz w:val="22"/>
      <w:szCs w:val="22"/>
      <w:lang w:val="en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60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604F"/>
    <w:pPr>
      <w:tabs>
        <w:tab w:val="center" w:pos="4680"/>
        <w:tab w:val="right" w:pos="9360"/>
      </w:tabs>
      <w:spacing w:after="0"/>
    </w:pPr>
    <w:rPr>
      <w:rFonts w:eastAsiaTheme="minorHAnsi"/>
      <w:sz w:val="22"/>
      <w:szCs w:val="22"/>
      <w:lang w:val="en-C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604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36FA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Raffaelli</dc:creator>
  <cp:keywords/>
  <dc:description/>
  <cp:lastModifiedBy>Enrico Raffaelli</cp:lastModifiedBy>
  <cp:revision>2</cp:revision>
  <dcterms:created xsi:type="dcterms:W3CDTF">2023-01-03T09:11:00Z</dcterms:created>
  <dcterms:modified xsi:type="dcterms:W3CDTF">2024-08-12T14:41:00Z</dcterms:modified>
</cp:coreProperties>
</file>