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8D68" w14:textId="2F536B67" w:rsidR="00794A04" w:rsidRPr="005E12E5" w:rsidRDefault="00B14C91" w:rsidP="00234ABF">
      <w:pPr>
        <w:jc w:val="both"/>
        <w:rPr>
          <w:b/>
          <w:sz w:val="22"/>
          <w:szCs w:val="22"/>
          <w:u w:val="single"/>
        </w:rPr>
      </w:pPr>
      <w:r w:rsidRPr="005E12E5">
        <w:rPr>
          <w:b/>
          <w:sz w:val="22"/>
          <w:szCs w:val="22"/>
          <w:u w:val="single"/>
        </w:rPr>
        <w:t>The Aim of My Postdoctoral Fellowship</w:t>
      </w:r>
    </w:p>
    <w:p w14:paraId="203CF2CD" w14:textId="2740591B" w:rsidR="00E75153" w:rsidRPr="005E12E5" w:rsidRDefault="00794A04" w:rsidP="00234ABF">
      <w:pPr>
        <w:ind w:firstLine="720"/>
        <w:jc w:val="both"/>
        <w:rPr>
          <w:bCs/>
          <w:sz w:val="22"/>
          <w:szCs w:val="22"/>
        </w:rPr>
      </w:pPr>
      <w:r w:rsidRPr="005E12E5">
        <w:rPr>
          <w:bCs/>
          <w:sz w:val="22"/>
          <w:szCs w:val="22"/>
        </w:rPr>
        <w:t xml:space="preserve">This </w:t>
      </w:r>
      <w:r w:rsidR="00D774AB" w:rsidRPr="005E12E5">
        <w:rPr>
          <w:bCs/>
          <w:sz w:val="22"/>
          <w:szCs w:val="22"/>
        </w:rPr>
        <w:t>synopsis</w:t>
      </w:r>
      <w:r w:rsidRPr="005E12E5">
        <w:rPr>
          <w:bCs/>
          <w:sz w:val="22"/>
          <w:szCs w:val="22"/>
        </w:rPr>
        <w:t xml:space="preserve"> is </w:t>
      </w:r>
      <w:r w:rsidR="00D774AB" w:rsidRPr="005E12E5">
        <w:rPr>
          <w:bCs/>
          <w:sz w:val="22"/>
          <w:szCs w:val="22"/>
        </w:rPr>
        <w:t xml:space="preserve">part of my application </w:t>
      </w:r>
      <w:r w:rsidRPr="005E12E5">
        <w:rPr>
          <w:bCs/>
          <w:sz w:val="22"/>
          <w:szCs w:val="22"/>
        </w:rPr>
        <w:t xml:space="preserve">for the </w:t>
      </w:r>
      <w:proofErr w:type="spellStart"/>
      <w:r w:rsidRPr="005E12E5">
        <w:rPr>
          <w:bCs/>
          <w:sz w:val="22"/>
          <w:szCs w:val="22"/>
        </w:rPr>
        <w:t>Elahé</w:t>
      </w:r>
      <w:proofErr w:type="spellEnd"/>
      <w:r w:rsidRPr="005E12E5">
        <w:rPr>
          <w:bCs/>
          <w:sz w:val="22"/>
          <w:szCs w:val="22"/>
        </w:rPr>
        <w:t xml:space="preserve"> Omidyar Mir-</w:t>
      </w:r>
      <w:proofErr w:type="spellStart"/>
      <w:r w:rsidRPr="005E12E5">
        <w:rPr>
          <w:bCs/>
          <w:sz w:val="22"/>
          <w:szCs w:val="22"/>
        </w:rPr>
        <w:t>Djalali</w:t>
      </w:r>
      <w:proofErr w:type="spellEnd"/>
      <w:r w:rsidRPr="005E12E5">
        <w:rPr>
          <w:bCs/>
          <w:sz w:val="22"/>
          <w:szCs w:val="22"/>
        </w:rPr>
        <w:t xml:space="preserve"> Postdoctoral Fellowship in Iranian Studies under the supervision of Professor Mohammad </w:t>
      </w:r>
      <w:proofErr w:type="spellStart"/>
      <w:r w:rsidRPr="005E12E5">
        <w:rPr>
          <w:bCs/>
          <w:sz w:val="22"/>
          <w:szCs w:val="22"/>
        </w:rPr>
        <w:t>Tavakoli-Targhi</w:t>
      </w:r>
      <w:proofErr w:type="spellEnd"/>
      <w:r w:rsidRPr="005E12E5">
        <w:rPr>
          <w:bCs/>
          <w:sz w:val="22"/>
          <w:szCs w:val="22"/>
        </w:rPr>
        <w:t xml:space="preserve">. </w:t>
      </w:r>
      <w:r w:rsidR="00D774AB" w:rsidRPr="005E12E5">
        <w:rPr>
          <w:bCs/>
          <w:sz w:val="22"/>
          <w:szCs w:val="22"/>
        </w:rPr>
        <w:t xml:space="preserve">For my </w:t>
      </w:r>
      <w:r w:rsidR="00B43E1B" w:rsidRPr="005E12E5">
        <w:rPr>
          <w:bCs/>
          <w:sz w:val="22"/>
          <w:szCs w:val="22"/>
        </w:rPr>
        <w:t>p</w:t>
      </w:r>
      <w:r w:rsidR="00D774AB" w:rsidRPr="005E12E5">
        <w:rPr>
          <w:bCs/>
          <w:sz w:val="22"/>
          <w:szCs w:val="22"/>
        </w:rPr>
        <w:t xml:space="preserve">ostdoctoral </w:t>
      </w:r>
      <w:r w:rsidR="00B43E1B" w:rsidRPr="005E12E5">
        <w:rPr>
          <w:bCs/>
          <w:sz w:val="22"/>
          <w:szCs w:val="22"/>
        </w:rPr>
        <w:t>f</w:t>
      </w:r>
      <w:r w:rsidR="00D774AB" w:rsidRPr="005E12E5">
        <w:rPr>
          <w:bCs/>
          <w:sz w:val="22"/>
          <w:szCs w:val="22"/>
        </w:rPr>
        <w:t xml:space="preserve">ellowship, I plan to </w:t>
      </w:r>
      <w:r w:rsidRPr="005E12E5">
        <w:rPr>
          <w:bCs/>
          <w:sz w:val="22"/>
          <w:szCs w:val="22"/>
        </w:rPr>
        <w:t xml:space="preserve">investigate </w:t>
      </w:r>
      <w:r w:rsidR="00AE7BB2" w:rsidRPr="005E12E5">
        <w:rPr>
          <w:bCs/>
          <w:sz w:val="22"/>
          <w:szCs w:val="22"/>
        </w:rPr>
        <w:t xml:space="preserve">the </w:t>
      </w:r>
      <w:r w:rsidR="0058682F" w:rsidRPr="005E12E5">
        <w:rPr>
          <w:bCs/>
          <w:sz w:val="22"/>
          <w:szCs w:val="22"/>
        </w:rPr>
        <w:t xml:space="preserve">polarization of political space and </w:t>
      </w:r>
      <w:r w:rsidR="00D774AB" w:rsidRPr="005E12E5">
        <w:rPr>
          <w:bCs/>
          <w:sz w:val="22"/>
          <w:szCs w:val="22"/>
        </w:rPr>
        <w:t xml:space="preserve">the </w:t>
      </w:r>
      <w:r w:rsidR="00AE7BB2" w:rsidRPr="005E12E5">
        <w:rPr>
          <w:bCs/>
          <w:sz w:val="22"/>
          <w:szCs w:val="22"/>
        </w:rPr>
        <w:t xml:space="preserve">transformation of swearwords and satirical language </w:t>
      </w:r>
      <w:r w:rsidR="00D774AB" w:rsidRPr="005E12E5">
        <w:rPr>
          <w:bCs/>
          <w:sz w:val="22"/>
          <w:szCs w:val="22"/>
        </w:rPr>
        <w:t xml:space="preserve">published </w:t>
      </w:r>
      <w:r w:rsidR="00AE7BB2" w:rsidRPr="005E12E5">
        <w:rPr>
          <w:bCs/>
          <w:sz w:val="22"/>
          <w:szCs w:val="22"/>
        </w:rPr>
        <w:t xml:space="preserve">in </w:t>
      </w:r>
      <w:r w:rsidR="00283956" w:rsidRPr="005E12E5">
        <w:rPr>
          <w:bCs/>
          <w:sz w:val="22"/>
          <w:szCs w:val="22"/>
        </w:rPr>
        <w:t>Persian</w:t>
      </w:r>
      <w:r w:rsidR="00AE7BB2" w:rsidRPr="005E12E5">
        <w:rPr>
          <w:bCs/>
          <w:sz w:val="22"/>
          <w:szCs w:val="22"/>
        </w:rPr>
        <w:t xml:space="preserve"> newspaper</w:t>
      </w:r>
      <w:r w:rsidR="00D774AB" w:rsidRPr="005E12E5">
        <w:rPr>
          <w:bCs/>
          <w:sz w:val="22"/>
          <w:szCs w:val="22"/>
        </w:rPr>
        <w:t>s</w:t>
      </w:r>
      <w:r w:rsidR="00AE7BB2" w:rsidRPr="005E12E5">
        <w:rPr>
          <w:bCs/>
          <w:sz w:val="22"/>
          <w:szCs w:val="22"/>
        </w:rPr>
        <w:t xml:space="preserve"> from early to mid 20</w:t>
      </w:r>
      <w:r w:rsidR="00AE7BB2" w:rsidRPr="005E12E5">
        <w:rPr>
          <w:bCs/>
          <w:sz w:val="22"/>
          <w:szCs w:val="22"/>
          <w:vertAlign w:val="superscript"/>
        </w:rPr>
        <w:t>th</w:t>
      </w:r>
      <w:r w:rsidR="00AE7BB2" w:rsidRPr="005E12E5">
        <w:rPr>
          <w:bCs/>
          <w:sz w:val="22"/>
          <w:szCs w:val="22"/>
        </w:rPr>
        <w:t xml:space="preserve"> century. </w:t>
      </w:r>
      <w:r w:rsidR="007A7F87">
        <w:rPr>
          <w:bCs/>
          <w:sz w:val="22"/>
          <w:szCs w:val="22"/>
        </w:rPr>
        <w:t xml:space="preserve">I argue that there is a shift in the use of swearwords and invective language in Persian newspapers from predominantly familial to non-familial themes between 1900-1953. </w:t>
      </w:r>
      <w:r w:rsidR="00B43E1B" w:rsidRPr="005E12E5">
        <w:rPr>
          <w:bCs/>
          <w:sz w:val="22"/>
          <w:szCs w:val="22"/>
        </w:rPr>
        <w:t xml:space="preserve">I </w:t>
      </w:r>
      <w:r w:rsidR="00F13697" w:rsidRPr="005E12E5">
        <w:rPr>
          <w:bCs/>
          <w:sz w:val="22"/>
          <w:szCs w:val="22"/>
        </w:rPr>
        <w:t>selected</w:t>
      </w:r>
      <w:r w:rsidR="00B43E1B" w:rsidRPr="005E12E5">
        <w:rPr>
          <w:bCs/>
          <w:sz w:val="22"/>
          <w:szCs w:val="22"/>
        </w:rPr>
        <w:t xml:space="preserve"> this historic era because of the escalation of conflict closer to the coup in 1953. This provides a unique opportunity to analyze the use of swearwords and political invectives</w:t>
      </w:r>
      <w:r w:rsidR="00916357" w:rsidRPr="005E12E5">
        <w:rPr>
          <w:bCs/>
          <w:sz w:val="22"/>
          <w:szCs w:val="22"/>
        </w:rPr>
        <w:t>, their</w:t>
      </w:r>
      <w:r w:rsidR="00B43E1B" w:rsidRPr="005E12E5">
        <w:rPr>
          <w:bCs/>
          <w:sz w:val="22"/>
          <w:szCs w:val="22"/>
        </w:rPr>
        <w:t xml:space="preserve"> evolution over time</w:t>
      </w:r>
      <w:r w:rsidR="002A2DDB" w:rsidRPr="005E12E5">
        <w:rPr>
          <w:bCs/>
          <w:sz w:val="22"/>
          <w:szCs w:val="22"/>
        </w:rPr>
        <w:t>,</w:t>
      </w:r>
      <w:r w:rsidR="00B43E1B" w:rsidRPr="005E12E5">
        <w:rPr>
          <w:bCs/>
          <w:sz w:val="22"/>
          <w:szCs w:val="22"/>
        </w:rPr>
        <w:t xml:space="preserve"> and factors that shape </w:t>
      </w:r>
      <w:r w:rsidR="00916357" w:rsidRPr="005E12E5">
        <w:rPr>
          <w:bCs/>
          <w:sz w:val="22"/>
          <w:szCs w:val="22"/>
        </w:rPr>
        <w:t xml:space="preserve">their </w:t>
      </w:r>
      <w:r w:rsidR="00B43E1B" w:rsidRPr="005E12E5">
        <w:rPr>
          <w:bCs/>
          <w:sz w:val="22"/>
          <w:szCs w:val="22"/>
        </w:rPr>
        <w:t xml:space="preserve">use </w:t>
      </w:r>
      <w:r w:rsidR="002A2DDB" w:rsidRPr="005E12E5">
        <w:rPr>
          <w:bCs/>
          <w:sz w:val="22"/>
          <w:szCs w:val="22"/>
        </w:rPr>
        <w:t xml:space="preserve">in </w:t>
      </w:r>
      <w:r w:rsidR="00916357" w:rsidRPr="005E12E5">
        <w:rPr>
          <w:bCs/>
          <w:sz w:val="22"/>
          <w:szCs w:val="22"/>
        </w:rPr>
        <w:t>the Iranian political rhetoric</w:t>
      </w:r>
      <w:r w:rsidR="00B43E1B" w:rsidRPr="005E12E5">
        <w:rPr>
          <w:bCs/>
          <w:sz w:val="22"/>
          <w:szCs w:val="22"/>
        </w:rPr>
        <w:t>.</w:t>
      </w:r>
    </w:p>
    <w:p w14:paraId="6A6CA715" w14:textId="210D8F3E" w:rsidR="00916357" w:rsidRPr="005E12E5" w:rsidRDefault="00B43E1B" w:rsidP="00234ABF">
      <w:pPr>
        <w:ind w:firstLine="720"/>
        <w:jc w:val="both"/>
        <w:rPr>
          <w:bCs/>
          <w:sz w:val="22"/>
          <w:szCs w:val="22"/>
        </w:rPr>
      </w:pPr>
      <w:r w:rsidRPr="005E12E5">
        <w:rPr>
          <w:bCs/>
          <w:sz w:val="22"/>
          <w:szCs w:val="22"/>
        </w:rPr>
        <w:t xml:space="preserve"> </w:t>
      </w:r>
    </w:p>
    <w:p w14:paraId="002C66AB" w14:textId="15E5C41E" w:rsidR="0081786F" w:rsidRPr="005E12E5" w:rsidRDefault="002A2DDB" w:rsidP="0081786F">
      <w:pPr>
        <w:ind w:firstLine="720"/>
        <w:jc w:val="both"/>
        <w:rPr>
          <w:bCs/>
          <w:color w:val="000000" w:themeColor="text1"/>
          <w:sz w:val="22"/>
          <w:szCs w:val="22"/>
        </w:rPr>
      </w:pPr>
      <w:bookmarkStart w:id="0" w:name="_Hlk110804943"/>
      <w:r w:rsidRPr="005E12E5">
        <w:rPr>
          <w:bCs/>
          <w:sz w:val="22"/>
          <w:szCs w:val="22"/>
        </w:rPr>
        <w:t xml:space="preserve">My </w:t>
      </w:r>
      <w:r w:rsidR="00C134A5" w:rsidRPr="005E12E5">
        <w:rPr>
          <w:bCs/>
          <w:sz w:val="22"/>
          <w:szCs w:val="22"/>
        </w:rPr>
        <w:t xml:space="preserve">central </w:t>
      </w:r>
      <w:r w:rsidRPr="005E12E5">
        <w:rPr>
          <w:bCs/>
          <w:sz w:val="22"/>
          <w:szCs w:val="22"/>
        </w:rPr>
        <w:t xml:space="preserve">argument is that the expression of emotion language through swearwords and invectives </w:t>
      </w:r>
      <w:r w:rsidR="00B14C91" w:rsidRPr="005E12E5">
        <w:rPr>
          <w:bCs/>
          <w:sz w:val="22"/>
          <w:szCs w:val="22"/>
        </w:rPr>
        <w:t xml:space="preserve">is shaped by the context, and specifically, it </w:t>
      </w:r>
      <w:r w:rsidRPr="005E12E5">
        <w:rPr>
          <w:bCs/>
          <w:sz w:val="22"/>
          <w:szCs w:val="22"/>
        </w:rPr>
        <w:t xml:space="preserve">varies over time (reflecting the intensity of the political conflict) and as a function of </w:t>
      </w:r>
      <w:r w:rsidR="00916357" w:rsidRPr="005E12E5">
        <w:rPr>
          <w:bCs/>
          <w:sz w:val="22"/>
          <w:szCs w:val="22"/>
        </w:rPr>
        <w:t xml:space="preserve">the </w:t>
      </w:r>
      <w:r w:rsidRPr="005E12E5">
        <w:rPr>
          <w:bCs/>
          <w:sz w:val="22"/>
          <w:szCs w:val="22"/>
        </w:rPr>
        <w:t>individual characteristics of the speakers (religion, political affiliation, ideological extremism).</w:t>
      </w:r>
      <w:bookmarkEnd w:id="0"/>
      <w:r w:rsidRPr="005E12E5">
        <w:rPr>
          <w:bCs/>
          <w:sz w:val="22"/>
          <w:szCs w:val="22"/>
        </w:rPr>
        <w:t xml:space="preserve">  In this vein, </w:t>
      </w:r>
      <w:r w:rsidR="00AE7BB2" w:rsidRPr="005E12E5">
        <w:rPr>
          <w:bCs/>
          <w:sz w:val="22"/>
          <w:szCs w:val="22"/>
        </w:rPr>
        <w:t>I argue that</w:t>
      </w:r>
      <w:r w:rsidR="00126CA6" w:rsidRPr="005E12E5">
        <w:rPr>
          <w:bCs/>
          <w:sz w:val="22"/>
          <w:szCs w:val="22"/>
        </w:rPr>
        <w:t xml:space="preserve">, during this period, </w:t>
      </w:r>
      <w:r w:rsidR="00AE7BB2" w:rsidRPr="005E12E5">
        <w:rPr>
          <w:bCs/>
          <w:sz w:val="22"/>
          <w:szCs w:val="22"/>
        </w:rPr>
        <w:t xml:space="preserve">there is </w:t>
      </w:r>
      <w:r w:rsidR="00126CA6" w:rsidRPr="005E12E5">
        <w:rPr>
          <w:bCs/>
          <w:sz w:val="22"/>
          <w:szCs w:val="22"/>
        </w:rPr>
        <w:t>a</w:t>
      </w:r>
      <w:r w:rsidR="00AE7BB2" w:rsidRPr="005E12E5">
        <w:rPr>
          <w:bCs/>
          <w:sz w:val="22"/>
          <w:szCs w:val="22"/>
        </w:rPr>
        <w:t xml:space="preserve"> shift </w:t>
      </w:r>
      <w:r w:rsidR="0058682F" w:rsidRPr="005E12E5">
        <w:rPr>
          <w:bCs/>
          <w:sz w:val="22"/>
          <w:szCs w:val="22"/>
        </w:rPr>
        <w:t xml:space="preserve">in the nature of </w:t>
      </w:r>
      <w:r w:rsidR="005575BB" w:rsidRPr="005E12E5">
        <w:rPr>
          <w:bCs/>
          <w:sz w:val="22"/>
          <w:szCs w:val="22"/>
        </w:rPr>
        <w:t xml:space="preserve">discourse </w:t>
      </w:r>
      <w:r w:rsidR="00126CA6" w:rsidRPr="005E12E5">
        <w:rPr>
          <w:bCs/>
          <w:sz w:val="22"/>
          <w:szCs w:val="22"/>
        </w:rPr>
        <w:t xml:space="preserve">and use </w:t>
      </w:r>
      <w:r w:rsidR="005575BB" w:rsidRPr="005E12E5">
        <w:rPr>
          <w:bCs/>
          <w:sz w:val="22"/>
          <w:szCs w:val="22"/>
        </w:rPr>
        <w:t xml:space="preserve">of </w:t>
      </w:r>
      <w:r w:rsidR="0058682F" w:rsidRPr="005E12E5">
        <w:rPr>
          <w:bCs/>
          <w:sz w:val="22"/>
          <w:szCs w:val="22"/>
        </w:rPr>
        <w:t xml:space="preserve">swearing language in </w:t>
      </w:r>
      <w:r w:rsidR="00283956" w:rsidRPr="005E12E5">
        <w:rPr>
          <w:bCs/>
          <w:sz w:val="22"/>
          <w:szCs w:val="22"/>
        </w:rPr>
        <w:t>Persian</w:t>
      </w:r>
      <w:r w:rsidR="00126CA6" w:rsidRPr="005E12E5">
        <w:rPr>
          <w:bCs/>
          <w:sz w:val="22"/>
          <w:szCs w:val="22"/>
        </w:rPr>
        <w:t xml:space="preserve"> </w:t>
      </w:r>
      <w:r w:rsidR="0058682F" w:rsidRPr="005E12E5">
        <w:rPr>
          <w:bCs/>
          <w:sz w:val="22"/>
          <w:szCs w:val="22"/>
        </w:rPr>
        <w:t>newspaper</w:t>
      </w:r>
      <w:r w:rsidR="00126CA6" w:rsidRPr="005E12E5">
        <w:rPr>
          <w:bCs/>
          <w:sz w:val="22"/>
          <w:szCs w:val="22"/>
        </w:rPr>
        <w:t xml:space="preserve">s, </w:t>
      </w:r>
      <w:r w:rsidR="00283956" w:rsidRPr="005E12E5">
        <w:rPr>
          <w:bCs/>
          <w:sz w:val="22"/>
          <w:szCs w:val="22"/>
        </w:rPr>
        <w:t>with swearwords coming from</w:t>
      </w:r>
      <w:r w:rsidR="00AE7BB2" w:rsidRPr="005E12E5">
        <w:rPr>
          <w:bCs/>
          <w:sz w:val="22"/>
          <w:szCs w:val="22"/>
        </w:rPr>
        <w:t xml:space="preserve"> </w:t>
      </w:r>
      <w:r w:rsidR="00283956" w:rsidRPr="005E12E5">
        <w:rPr>
          <w:bCs/>
          <w:sz w:val="22"/>
          <w:szCs w:val="22"/>
        </w:rPr>
        <w:t>a variety of sources</w:t>
      </w:r>
      <w:r w:rsidR="00ED4423" w:rsidRPr="005E12E5">
        <w:rPr>
          <w:bCs/>
          <w:sz w:val="22"/>
          <w:szCs w:val="22"/>
        </w:rPr>
        <w:t xml:space="preserve"> (e.g., </w:t>
      </w:r>
      <w:r w:rsidR="00283956" w:rsidRPr="005E12E5">
        <w:rPr>
          <w:bCs/>
          <w:sz w:val="22"/>
          <w:szCs w:val="22"/>
        </w:rPr>
        <w:t>family</w:t>
      </w:r>
      <w:r w:rsidR="008E0D43" w:rsidRPr="005E12E5">
        <w:rPr>
          <w:bCs/>
          <w:sz w:val="22"/>
          <w:szCs w:val="22"/>
        </w:rPr>
        <w:t>, sexual activities, prostitution, scatological theme</w:t>
      </w:r>
      <w:r w:rsidR="00283956" w:rsidRPr="005E12E5">
        <w:rPr>
          <w:bCs/>
          <w:sz w:val="22"/>
          <w:szCs w:val="22"/>
        </w:rPr>
        <w:t xml:space="preserve">s, </w:t>
      </w:r>
      <w:r w:rsidR="008E0D43" w:rsidRPr="005E12E5">
        <w:rPr>
          <w:bCs/>
          <w:color w:val="000000" w:themeColor="text1"/>
          <w:sz w:val="22"/>
          <w:szCs w:val="22"/>
        </w:rPr>
        <w:t>animal</w:t>
      </w:r>
      <w:r w:rsidR="00283956" w:rsidRPr="005E12E5">
        <w:rPr>
          <w:bCs/>
          <w:color w:val="000000" w:themeColor="text1"/>
          <w:sz w:val="22"/>
          <w:szCs w:val="22"/>
        </w:rPr>
        <w:t>s</w:t>
      </w:r>
      <w:r w:rsidR="008E0D43" w:rsidRPr="005E12E5">
        <w:rPr>
          <w:bCs/>
          <w:color w:val="000000" w:themeColor="text1"/>
          <w:sz w:val="22"/>
          <w:szCs w:val="22"/>
        </w:rPr>
        <w:t>, death</w:t>
      </w:r>
      <w:r w:rsidR="00ED4423" w:rsidRPr="005E12E5">
        <w:rPr>
          <w:bCs/>
          <w:color w:val="000000" w:themeColor="text1"/>
          <w:sz w:val="22"/>
          <w:szCs w:val="22"/>
        </w:rPr>
        <w:t>). Simi</w:t>
      </w:r>
      <w:r w:rsidR="00B14C91" w:rsidRPr="005E12E5">
        <w:rPr>
          <w:bCs/>
          <w:color w:val="000000" w:themeColor="text1"/>
          <w:sz w:val="22"/>
          <w:szCs w:val="22"/>
        </w:rPr>
        <w:t xml:space="preserve">larly, I argue that emotionality and use of swearwords and invective language </w:t>
      </w:r>
      <w:r w:rsidR="00F13697" w:rsidRPr="005E12E5">
        <w:rPr>
          <w:bCs/>
          <w:color w:val="000000" w:themeColor="text1"/>
          <w:sz w:val="22"/>
          <w:szCs w:val="22"/>
        </w:rPr>
        <w:t>are</w:t>
      </w:r>
      <w:r w:rsidR="00C66B50" w:rsidRPr="005E12E5">
        <w:rPr>
          <w:bCs/>
          <w:color w:val="000000" w:themeColor="text1"/>
          <w:sz w:val="22"/>
          <w:szCs w:val="22"/>
        </w:rPr>
        <w:t xml:space="preserve"> expressed </w:t>
      </w:r>
      <w:r w:rsidR="00434889" w:rsidRPr="005E12E5">
        <w:rPr>
          <w:bCs/>
          <w:color w:val="000000" w:themeColor="text1"/>
          <w:sz w:val="22"/>
          <w:szCs w:val="22"/>
        </w:rPr>
        <w:t>differently as a function of speakers’ characteristics such as religiosity, gender, political affiliation</w:t>
      </w:r>
      <w:r w:rsidR="00C66B50" w:rsidRPr="005E12E5">
        <w:rPr>
          <w:bCs/>
          <w:color w:val="000000" w:themeColor="text1"/>
          <w:sz w:val="22"/>
          <w:szCs w:val="22"/>
        </w:rPr>
        <w:t>.</w:t>
      </w:r>
      <w:r w:rsidR="00B14C91" w:rsidRPr="005E12E5">
        <w:rPr>
          <w:bCs/>
          <w:color w:val="000000" w:themeColor="text1"/>
          <w:sz w:val="22"/>
          <w:szCs w:val="22"/>
        </w:rPr>
        <w:t xml:space="preserve"> </w:t>
      </w:r>
      <w:bookmarkStart w:id="1" w:name="_Hlk110804845"/>
      <w:r w:rsidR="00916357" w:rsidRPr="005E12E5">
        <w:rPr>
          <w:bCs/>
          <w:color w:val="000000" w:themeColor="text1"/>
          <w:sz w:val="22"/>
          <w:szCs w:val="22"/>
        </w:rPr>
        <w:t xml:space="preserve">My preliminary research from </w:t>
      </w:r>
      <w:r w:rsidR="000A70BA" w:rsidRPr="005E12E5">
        <w:rPr>
          <w:bCs/>
          <w:color w:val="000000" w:themeColor="text1"/>
          <w:sz w:val="22"/>
          <w:szCs w:val="22"/>
        </w:rPr>
        <w:t xml:space="preserve">the newspapers </w:t>
      </w:r>
      <w:r w:rsidR="00916357" w:rsidRPr="005E12E5">
        <w:rPr>
          <w:bCs/>
          <w:color w:val="000000" w:themeColor="text1"/>
          <w:sz w:val="22"/>
          <w:szCs w:val="22"/>
        </w:rPr>
        <w:t>“</w:t>
      </w:r>
      <w:proofErr w:type="spellStart"/>
      <w:r w:rsidR="00916357" w:rsidRPr="005E12E5">
        <w:rPr>
          <w:bCs/>
          <w:color w:val="000000" w:themeColor="text1"/>
          <w:sz w:val="22"/>
          <w:szCs w:val="22"/>
        </w:rPr>
        <w:t>Hamleh</w:t>
      </w:r>
      <w:proofErr w:type="spellEnd"/>
      <w:r w:rsidR="00916357" w:rsidRPr="005E12E5">
        <w:rPr>
          <w:bCs/>
          <w:color w:val="000000" w:themeColor="text1"/>
          <w:sz w:val="22"/>
          <w:szCs w:val="22"/>
        </w:rPr>
        <w:t>”; “Atash” revealed a</w:t>
      </w:r>
      <w:r w:rsidR="00ED4423" w:rsidRPr="005E12E5">
        <w:rPr>
          <w:bCs/>
          <w:color w:val="000000" w:themeColor="text1"/>
          <w:sz w:val="22"/>
          <w:szCs w:val="22"/>
        </w:rPr>
        <w:t>n evolution of t</w:t>
      </w:r>
      <w:r w:rsidR="00916357" w:rsidRPr="005E12E5">
        <w:rPr>
          <w:bCs/>
          <w:color w:val="000000" w:themeColor="text1"/>
          <w:sz w:val="22"/>
          <w:szCs w:val="22"/>
        </w:rPr>
        <w:t xml:space="preserve">he use of swearwords </w:t>
      </w:r>
      <w:r w:rsidR="000A70BA" w:rsidRPr="005E12E5">
        <w:rPr>
          <w:bCs/>
          <w:color w:val="000000" w:themeColor="text1"/>
          <w:sz w:val="22"/>
          <w:szCs w:val="22"/>
        </w:rPr>
        <w:t>by</w:t>
      </w:r>
      <w:r w:rsidR="00916357" w:rsidRPr="005E12E5">
        <w:rPr>
          <w:bCs/>
          <w:color w:val="000000" w:themeColor="text1"/>
          <w:sz w:val="22"/>
          <w:szCs w:val="22"/>
        </w:rPr>
        <w:t xml:space="preserve"> the political parties</w:t>
      </w:r>
      <w:r w:rsidR="00ED4423" w:rsidRPr="005E12E5">
        <w:rPr>
          <w:bCs/>
          <w:color w:val="000000" w:themeColor="text1"/>
          <w:sz w:val="22"/>
          <w:szCs w:val="22"/>
        </w:rPr>
        <w:t xml:space="preserve">, with </w:t>
      </w:r>
      <w:r w:rsidR="00916357" w:rsidRPr="005E12E5">
        <w:rPr>
          <w:bCs/>
          <w:color w:val="000000" w:themeColor="text1"/>
          <w:sz w:val="22"/>
          <w:szCs w:val="22"/>
        </w:rPr>
        <w:t xml:space="preserve">a shift from </w:t>
      </w:r>
      <w:r w:rsidR="008373D7">
        <w:rPr>
          <w:bCs/>
          <w:color w:val="000000" w:themeColor="text1"/>
          <w:sz w:val="22"/>
          <w:szCs w:val="22"/>
        </w:rPr>
        <w:t>harsher</w:t>
      </w:r>
      <w:r w:rsidR="00916357" w:rsidRPr="005E12E5">
        <w:rPr>
          <w:bCs/>
          <w:color w:val="000000" w:themeColor="text1"/>
          <w:sz w:val="22"/>
          <w:szCs w:val="22"/>
        </w:rPr>
        <w:t xml:space="preserve"> swearwords focus</w:t>
      </w:r>
      <w:r w:rsidR="00ED4423" w:rsidRPr="005E12E5">
        <w:rPr>
          <w:bCs/>
          <w:color w:val="000000" w:themeColor="text1"/>
          <w:sz w:val="22"/>
          <w:szCs w:val="22"/>
        </w:rPr>
        <w:t>ed</w:t>
      </w:r>
      <w:r w:rsidR="00916357" w:rsidRPr="005E12E5">
        <w:rPr>
          <w:bCs/>
          <w:color w:val="000000" w:themeColor="text1"/>
          <w:sz w:val="22"/>
          <w:szCs w:val="22"/>
        </w:rPr>
        <w:t xml:space="preserve"> on m</w:t>
      </w:r>
      <w:r w:rsidR="000A70BA" w:rsidRPr="005E12E5">
        <w:rPr>
          <w:bCs/>
          <w:color w:val="000000" w:themeColor="text1"/>
          <w:sz w:val="22"/>
          <w:szCs w:val="22"/>
        </w:rPr>
        <w:t>aternal relations</w:t>
      </w:r>
      <w:r w:rsidR="00916357" w:rsidRPr="005E12E5">
        <w:rPr>
          <w:bCs/>
          <w:color w:val="000000" w:themeColor="text1"/>
          <w:sz w:val="22"/>
          <w:szCs w:val="22"/>
        </w:rPr>
        <w:t xml:space="preserve">, sexual activities, prostitution, and scatological themes to </w:t>
      </w:r>
      <w:r w:rsidR="008373D7">
        <w:rPr>
          <w:bCs/>
          <w:color w:val="000000" w:themeColor="text1"/>
          <w:sz w:val="22"/>
          <w:szCs w:val="22"/>
        </w:rPr>
        <w:t>swear</w:t>
      </w:r>
      <w:r w:rsidR="00916357" w:rsidRPr="005E12E5">
        <w:rPr>
          <w:bCs/>
          <w:color w:val="000000" w:themeColor="text1"/>
          <w:sz w:val="22"/>
          <w:szCs w:val="22"/>
        </w:rPr>
        <w:t>words that focus on animals, death, religious themes and treacherous language</w:t>
      </w:r>
      <w:bookmarkEnd w:id="1"/>
      <w:r w:rsidR="00916357" w:rsidRPr="005E12E5">
        <w:rPr>
          <w:bCs/>
          <w:color w:val="000000" w:themeColor="text1"/>
          <w:sz w:val="22"/>
          <w:szCs w:val="22"/>
        </w:rPr>
        <w:t xml:space="preserve"> such as: “</w:t>
      </w:r>
      <w:proofErr w:type="spellStart"/>
      <w:r w:rsidR="00916357" w:rsidRPr="005E12E5">
        <w:rPr>
          <w:bCs/>
          <w:color w:val="000000" w:themeColor="text1"/>
          <w:sz w:val="22"/>
          <w:szCs w:val="22"/>
        </w:rPr>
        <w:t>گوسفند</w:t>
      </w:r>
      <w:proofErr w:type="spellEnd"/>
      <w:r w:rsidR="00916357" w:rsidRPr="005E12E5">
        <w:rPr>
          <w:bCs/>
          <w:color w:val="000000" w:themeColor="text1"/>
          <w:sz w:val="22"/>
          <w:szCs w:val="22"/>
        </w:rPr>
        <w:t xml:space="preserve">” </w:t>
      </w:r>
      <w:r w:rsidR="00015DC2">
        <w:rPr>
          <w:rStyle w:val="FootnoteReference"/>
          <w:bCs/>
          <w:color w:val="000000" w:themeColor="text1"/>
          <w:sz w:val="22"/>
          <w:szCs w:val="22"/>
        </w:rPr>
        <w:footnoteReference w:id="1"/>
      </w:r>
      <w:r w:rsidR="00916357" w:rsidRPr="005E12E5">
        <w:rPr>
          <w:bCs/>
          <w:color w:val="000000" w:themeColor="text1"/>
          <w:sz w:val="22"/>
          <w:szCs w:val="22"/>
        </w:rPr>
        <w:t>(sheepish);</w:t>
      </w:r>
      <w:r w:rsidR="008373D7">
        <w:rPr>
          <w:bCs/>
          <w:color w:val="000000" w:themeColor="text1"/>
          <w:sz w:val="22"/>
          <w:szCs w:val="22"/>
        </w:rPr>
        <w:t xml:space="preserve"> </w:t>
      </w:r>
      <w:r w:rsidR="00916357" w:rsidRPr="005E12E5">
        <w:rPr>
          <w:bCs/>
          <w:color w:val="000000" w:themeColor="text1"/>
          <w:sz w:val="22"/>
          <w:szCs w:val="22"/>
        </w:rPr>
        <w:t xml:space="preserve">“ </w:t>
      </w:r>
      <w:proofErr w:type="spellStart"/>
      <w:r w:rsidR="00916357" w:rsidRPr="005E12E5">
        <w:rPr>
          <w:bCs/>
          <w:color w:val="000000" w:themeColor="text1"/>
          <w:sz w:val="22"/>
          <w:szCs w:val="22"/>
        </w:rPr>
        <w:t>افعي</w:t>
      </w:r>
      <w:proofErr w:type="spellEnd"/>
      <w:r w:rsidR="00916357" w:rsidRPr="005E12E5">
        <w:rPr>
          <w:bCs/>
          <w:color w:val="000000" w:themeColor="text1"/>
          <w:sz w:val="22"/>
          <w:szCs w:val="22"/>
        </w:rPr>
        <w:t>”</w:t>
      </w:r>
      <w:r w:rsidR="00015DC2">
        <w:rPr>
          <w:rStyle w:val="FootnoteReference"/>
          <w:bCs/>
          <w:color w:val="000000" w:themeColor="text1"/>
          <w:sz w:val="22"/>
          <w:szCs w:val="22"/>
        </w:rPr>
        <w:footnoteReference w:id="2"/>
      </w:r>
      <w:r w:rsidR="00916357" w:rsidRPr="005E12E5">
        <w:rPr>
          <w:bCs/>
          <w:color w:val="000000" w:themeColor="text1"/>
          <w:sz w:val="22"/>
          <w:szCs w:val="22"/>
        </w:rPr>
        <w:t xml:space="preserve"> (viper);</w:t>
      </w:r>
      <w:r w:rsidR="008373D7">
        <w:rPr>
          <w:bCs/>
          <w:color w:val="000000" w:themeColor="text1"/>
          <w:sz w:val="22"/>
          <w:szCs w:val="22"/>
        </w:rPr>
        <w:t xml:space="preserve"> </w:t>
      </w:r>
      <w:r w:rsidR="00916357" w:rsidRPr="005E12E5">
        <w:rPr>
          <w:bCs/>
          <w:color w:val="000000" w:themeColor="text1"/>
          <w:sz w:val="22"/>
          <w:szCs w:val="22"/>
        </w:rPr>
        <w:t xml:space="preserve">“ </w:t>
      </w:r>
      <w:proofErr w:type="spellStart"/>
      <w:r w:rsidR="00916357" w:rsidRPr="005E12E5">
        <w:rPr>
          <w:bCs/>
          <w:color w:val="000000" w:themeColor="text1"/>
          <w:sz w:val="22"/>
          <w:szCs w:val="22"/>
        </w:rPr>
        <w:t>زالو</w:t>
      </w:r>
      <w:proofErr w:type="spellEnd"/>
      <w:r w:rsidR="00916357" w:rsidRPr="005E12E5">
        <w:rPr>
          <w:bCs/>
          <w:color w:val="000000" w:themeColor="text1"/>
          <w:sz w:val="22"/>
          <w:szCs w:val="22"/>
        </w:rPr>
        <w:t>”</w:t>
      </w:r>
      <w:r w:rsidR="00015DC2">
        <w:rPr>
          <w:rStyle w:val="FootnoteReference"/>
          <w:bCs/>
          <w:color w:val="000000" w:themeColor="text1"/>
          <w:sz w:val="22"/>
          <w:szCs w:val="22"/>
        </w:rPr>
        <w:footnoteReference w:id="3"/>
      </w:r>
      <w:r w:rsidR="00916357" w:rsidRPr="005E12E5">
        <w:rPr>
          <w:bCs/>
          <w:color w:val="000000" w:themeColor="text1"/>
          <w:sz w:val="22"/>
          <w:szCs w:val="22"/>
        </w:rPr>
        <w:t>(leech, bloodsucker</w:t>
      </w:r>
      <w:r w:rsidR="008373D7">
        <w:rPr>
          <w:bCs/>
          <w:color w:val="000000" w:themeColor="text1"/>
          <w:sz w:val="22"/>
          <w:szCs w:val="22"/>
        </w:rPr>
        <w:t xml:space="preserve">); </w:t>
      </w:r>
      <w:r w:rsidR="0081786F" w:rsidRPr="0081786F">
        <w:rPr>
          <w:bCs/>
          <w:color w:val="000000" w:themeColor="text1"/>
          <w:sz w:val="22"/>
          <w:szCs w:val="22"/>
          <w:lang w:val="en-US"/>
        </w:rPr>
        <w:t>“</w:t>
      </w:r>
      <w:proofErr w:type="spellStart"/>
      <w:r w:rsidR="0081786F" w:rsidRPr="0081786F">
        <w:rPr>
          <w:rFonts w:hint="eastAsia"/>
          <w:bCs/>
          <w:color w:val="000000" w:themeColor="text1"/>
          <w:sz w:val="22"/>
          <w:szCs w:val="22"/>
          <w:lang w:val="en-US"/>
        </w:rPr>
        <w:t>شيره</w:t>
      </w:r>
      <w:proofErr w:type="spellEnd"/>
      <w:r w:rsidR="0081786F" w:rsidRPr="0081786F">
        <w:rPr>
          <w:bCs/>
          <w:color w:val="000000" w:themeColor="text1"/>
          <w:sz w:val="22"/>
          <w:szCs w:val="22"/>
          <w:lang w:val="en-US"/>
        </w:rPr>
        <w:t xml:space="preserve"> </w:t>
      </w:r>
      <w:proofErr w:type="spellStart"/>
      <w:r w:rsidR="0081786F" w:rsidRPr="0081786F">
        <w:rPr>
          <w:rFonts w:hint="eastAsia"/>
          <w:bCs/>
          <w:color w:val="000000" w:themeColor="text1"/>
          <w:sz w:val="22"/>
          <w:szCs w:val="22"/>
          <w:lang w:val="en-US"/>
        </w:rPr>
        <w:t>كش</w:t>
      </w:r>
      <w:proofErr w:type="spellEnd"/>
      <w:r w:rsidR="0081786F" w:rsidRPr="0081786F">
        <w:rPr>
          <w:bCs/>
          <w:color w:val="000000" w:themeColor="text1"/>
          <w:sz w:val="22"/>
          <w:szCs w:val="22"/>
          <w:lang w:val="en-US"/>
        </w:rPr>
        <w:t>”</w:t>
      </w:r>
      <w:r w:rsidR="00E13AF2">
        <w:rPr>
          <w:rStyle w:val="FootnoteReference"/>
          <w:bCs/>
          <w:color w:val="000000" w:themeColor="text1"/>
          <w:sz w:val="22"/>
          <w:szCs w:val="22"/>
          <w:lang w:val="en-US"/>
        </w:rPr>
        <w:footnoteReference w:id="4"/>
      </w:r>
      <w:r w:rsidR="0081786F" w:rsidRPr="0081786F">
        <w:rPr>
          <w:bCs/>
          <w:color w:val="000000" w:themeColor="text1"/>
          <w:sz w:val="22"/>
          <w:szCs w:val="22"/>
          <w:lang w:val="en-US"/>
        </w:rPr>
        <w:t xml:space="preserve"> (opiate Addict/ druggie)</w:t>
      </w:r>
      <w:r w:rsidR="0081786F">
        <w:rPr>
          <w:bCs/>
          <w:color w:val="000000" w:themeColor="text1"/>
          <w:sz w:val="22"/>
          <w:szCs w:val="22"/>
          <w:lang w:val="en-US"/>
        </w:rPr>
        <w:t xml:space="preserve">; </w:t>
      </w:r>
      <w:r w:rsidR="0081786F" w:rsidRPr="0081786F">
        <w:rPr>
          <w:bCs/>
          <w:color w:val="000000" w:themeColor="text1"/>
          <w:sz w:val="22"/>
          <w:szCs w:val="22"/>
          <w:lang w:val="en-US"/>
        </w:rPr>
        <w:t xml:space="preserve">“ </w:t>
      </w:r>
      <w:proofErr w:type="spellStart"/>
      <w:r w:rsidR="0081786F" w:rsidRPr="0081786F">
        <w:rPr>
          <w:rFonts w:hint="eastAsia"/>
          <w:bCs/>
          <w:color w:val="000000" w:themeColor="text1"/>
          <w:sz w:val="22"/>
          <w:szCs w:val="22"/>
          <w:lang w:val="en-US"/>
        </w:rPr>
        <w:t>لات</w:t>
      </w:r>
      <w:proofErr w:type="spellEnd"/>
      <w:r w:rsidR="0081786F" w:rsidRPr="0081786F">
        <w:rPr>
          <w:bCs/>
          <w:color w:val="000000" w:themeColor="text1"/>
          <w:sz w:val="22"/>
          <w:szCs w:val="22"/>
          <w:lang w:val="en-US"/>
        </w:rPr>
        <w:t xml:space="preserve"> </w:t>
      </w:r>
      <w:proofErr w:type="spellStart"/>
      <w:r w:rsidR="0081786F" w:rsidRPr="0081786F">
        <w:rPr>
          <w:rFonts w:hint="eastAsia"/>
          <w:bCs/>
          <w:color w:val="000000" w:themeColor="text1"/>
          <w:sz w:val="22"/>
          <w:szCs w:val="22"/>
          <w:lang w:val="en-US"/>
        </w:rPr>
        <w:t>جلمبر</w:t>
      </w:r>
      <w:proofErr w:type="spellEnd"/>
      <w:r w:rsidR="0081786F" w:rsidRPr="0081786F">
        <w:rPr>
          <w:bCs/>
          <w:color w:val="000000" w:themeColor="text1"/>
          <w:sz w:val="22"/>
          <w:szCs w:val="22"/>
          <w:lang w:val="en-US"/>
        </w:rPr>
        <w:t>”</w:t>
      </w:r>
      <w:r w:rsidR="007E6018">
        <w:rPr>
          <w:rStyle w:val="FootnoteReference"/>
          <w:bCs/>
          <w:color w:val="000000" w:themeColor="text1"/>
          <w:sz w:val="22"/>
          <w:szCs w:val="22"/>
          <w:lang w:val="en-US"/>
        </w:rPr>
        <w:footnoteReference w:id="5"/>
      </w:r>
      <w:r w:rsidR="007E6018">
        <w:rPr>
          <w:bCs/>
          <w:color w:val="000000" w:themeColor="text1"/>
          <w:sz w:val="22"/>
          <w:szCs w:val="22"/>
          <w:lang w:val="en-US"/>
        </w:rPr>
        <w:t xml:space="preserve"> </w:t>
      </w:r>
      <w:r w:rsidR="0081786F" w:rsidRPr="0081786F">
        <w:rPr>
          <w:bCs/>
          <w:color w:val="000000" w:themeColor="text1"/>
          <w:sz w:val="22"/>
          <w:szCs w:val="22"/>
          <w:lang w:val="en-US"/>
        </w:rPr>
        <w:t>(filthy vagabond)</w:t>
      </w:r>
      <w:r w:rsidR="0081786F">
        <w:rPr>
          <w:bCs/>
          <w:color w:val="000000" w:themeColor="text1"/>
          <w:sz w:val="22"/>
          <w:szCs w:val="22"/>
          <w:lang w:val="en-US"/>
        </w:rPr>
        <w:t xml:space="preserve">;  </w:t>
      </w:r>
      <w:r w:rsidR="0081786F" w:rsidRPr="008373D7">
        <w:rPr>
          <w:bCs/>
          <w:color w:val="000000" w:themeColor="text1"/>
          <w:sz w:val="22"/>
          <w:szCs w:val="22"/>
          <w:lang w:val="en-US"/>
        </w:rPr>
        <w:t xml:space="preserve">“ </w:t>
      </w:r>
      <w:proofErr w:type="spellStart"/>
      <w:r w:rsidR="0081786F" w:rsidRPr="008373D7">
        <w:rPr>
          <w:rFonts w:hint="eastAsia"/>
          <w:bCs/>
          <w:color w:val="000000" w:themeColor="text1"/>
          <w:sz w:val="22"/>
          <w:szCs w:val="22"/>
          <w:lang w:val="en-US"/>
        </w:rPr>
        <w:t>نمك</w:t>
      </w:r>
      <w:proofErr w:type="spellEnd"/>
      <w:r w:rsidR="0081786F" w:rsidRPr="008373D7">
        <w:rPr>
          <w:bCs/>
          <w:color w:val="000000" w:themeColor="text1"/>
          <w:sz w:val="22"/>
          <w:szCs w:val="22"/>
          <w:lang w:val="en-US"/>
        </w:rPr>
        <w:t xml:space="preserve"> </w:t>
      </w:r>
      <w:proofErr w:type="spellStart"/>
      <w:r w:rsidR="0081786F" w:rsidRPr="008373D7">
        <w:rPr>
          <w:rFonts w:hint="eastAsia"/>
          <w:bCs/>
          <w:color w:val="000000" w:themeColor="text1"/>
          <w:sz w:val="22"/>
          <w:szCs w:val="22"/>
          <w:lang w:val="en-US"/>
        </w:rPr>
        <w:t>به</w:t>
      </w:r>
      <w:proofErr w:type="spellEnd"/>
      <w:r w:rsidR="0081786F" w:rsidRPr="008373D7">
        <w:rPr>
          <w:bCs/>
          <w:color w:val="000000" w:themeColor="text1"/>
          <w:sz w:val="22"/>
          <w:szCs w:val="22"/>
          <w:lang w:val="en-US"/>
        </w:rPr>
        <w:t xml:space="preserve"> </w:t>
      </w:r>
      <w:proofErr w:type="spellStart"/>
      <w:r w:rsidR="0081786F" w:rsidRPr="008373D7">
        <w:rPr>
          <w:rFonts w:hint="eastAsia"/>
          <w:bCs/>
          <w:color w:val="000000" w:themeColor="text1"/>
          <w:sz w:val="22"/>
          <w:szCs w:val="22"/>
          <w:lang w:val="en-US"/>
        </w:rPr>
        <w:t>حرام</w:t>
      </w:r>
      <w:proofErr w:type="spellEnd"/>
      <w:r w:rsidR="0081786F" w:rsidRPr="008373D7">
        <w:rPr>
          <w:bCs/>
          <w:color w:val="000000" w:themeColor="text1"/>
          <w:sz w:val="22"/>
          <w:szCs w:val="22"/>
          <w:lang w:val="en-US"/>
        </w:rPr>
        <w:t>”</w:t>
      </w:r>
      <w:r w:rsidR="007E6018">
        <w:rPr>
          <w:rStyle w:val="FootnoteReference"/>
          <w:bCs/>
          <w:color w:val="000000" w:themeColor="text1"/>
          <w:sz w:val="22"/>
          <w:szCs w:val="22"/>
          <w:lang w:val="en-US"/>
        </w:rPr>
        <w:footnoteReference w:id="6"/>
      </w:r>
      <w:r w:rsidR="007E6018">
        <w:rPr>
          <w:bCs/>
          <w:color w:val="000000" w:themeColor="text1"/>
          <w:sz w:val="22"/>
          <w:szCs w:val="22"/>
          <w:lang w:val="en-US"/>
        </w:rPr>
        <w:t xml:space="preserve"> </w:t>
      </w:r>
      <w:r w:rsidR="0081786F" w:rsidRPr="008373D7">
        <w:rPr>
          <w:bCs/>
          <w:color w:val="000000" w:themeColor="text1"/>
          <w:sz w:val="22"/>
          <w:szCs w:val="22"/>
          <w:lang w:val="en-US"/>
        </w:rPr>
        <w:t>(traitor)</w:t>
      </w:r>
      <w:r w:rsidR="0081786F">
        <w:rPr>
          <w:bCs/>
          <w:color w:val="000000" w:themeColor="text1"/>
          <w:sz w:val="22"/>
          <w:szCs w:val="22"/>
          <w:lang w:val="en-US"/>
        </w:rPr>
        <w:t xml:space="preserve">; </w:t>
      </w:r>
      <w:r w:rsidR="0081786F" w:rsidRPr="0081786F">
        <w:rPr>
          <w:bCs/>
          <w:color w:val="000000" w:themeColor="text1"/>
          <w:sz w:val="22"/>
          <w:szCs w:val="22"/>
          <w:lang w:val="en-US"/>
        </w:rPr>
        <w:t>“</w:t>
      </w:r>
      <w:proofErr w:type="spellStart"/>
      <w:r w:rsidR="0081786F" w:rsidRPr="0081786F">
        <w:rPr>
          <w:rFonts w:hint="eastAsia"/>
          <w:bCs/>
          <w:color w:val="000000" w:themeColor="text1"/>
          <w:sz w:val="22"/>
          <w:szCs w:val="22"/>
          <w:lang w:val="en-US"/>
        </w:rPr>
        <w:t>رجاله</w:t>
      </w:r>
      <w:proofErr w:type="spellEnd"/>
      <w:r w:rsidR="0081786F" w:rsidRPr="0081786F">
        <w:rPr>
          <w:bCs/>
          <w:color w:val="000000" w:themeColor="text1"/>
          <w:sz w:val="22"/>
          <w:szCs w:val="22"/>
          <w:lang w:val="en-US"/>
        </w:rPr>
        <w:t xml:space="preserve"> </w:t>
      </w:r>
      <w:proofErr w:type="spellStart"/>
      <w:r w:rsidR="0081786F" w:rsidRPr="0081786F">
        <w:rPr>
          <w:rFonts w:hint="eastAsia"/>
          <w:bCs/>
          <w:color w:val="000000" w:themeColor="text1"/>
          <w:sz w:val="22"/>
          <w:szCs w:val="22"/>
          <w:lang w:val="en-US"/>
        </w:rPr>
        <w:t>مزدور</w:t>
      </w:r>
      <w:proofErr w:type="spellEnd"/>
      <w:r w:rsidR="0081786F" w:rsidRPr="0081786F">
        <w:rPr>
          <w:bCs/>
          <w:color w:val="000000" w:themeColor="text1"/>
          <w:sz w:val="22"/>
          <w:szCs w:val="22"/>
          <w:lang w:val="en-US"/>
        </w:rPr>
        <w:t>”</w:t>
      </w:r>
      <w:r w:rsidR="00655FD4">
        <w:rPr>
          <w:rStyle w:val="FootnoteReference"/>
          <w:bCs/>
          <w:color w:val="000000" w:themeColor="text1"/>
          <w:sz w:val="22"/>
          <w:szCs w:val="22"/>
          <w:lang w:val="en-US"/>
        </w:rPr>
        <w:footnoteReference w:id="7"/>
      </w:r>
      <w:r w:rsidR="00655FD4">
        <w:rPr>
          <w:bCs/>
          <w:color w:val="000000" w:themeColor="text1"/>
          <w:sz w:val="22"/>
          <w:szCs w:val="22"/>
          <w:lang w:val="en-US"/>
        </w:rPr>
        <w:t xml:space="preserve"> </w:t>
      </w:r>
      <w:r w:rsidR="0081786F" w:rsidRPr="0081786F">
        <w:rPr>
          <w:bCs/>
          <w:color w:val="000000" w:themeColor="text1"/>
          <w:sz w:val="22"/>
          <w:szCs w:val="22"/>
          <w:lang w:val="en-US"/>
        </w:rPr>
        <w:t>(venal scum)</w:t>
      </w:r>
      <w:r w:rsidR="0081786F">
        <w:rPr>
          <w:bCs/>
          <w:color w:val="000000" w:themeColor="text1"/>
          <w:sz w:val="22"/>
          <w:szCs w:val="22"/>
          <w:lang w:val="en-US"/>
        </w:rPr>
        <w:t xml:space="preserve">; </w:t>
      </w:r>
      <w:r w:rsidR="0081786F" w:rsidRPr="005E12E5">
        <w:rPr>
          <w:bCs/>
          <w:color w:val="000000" w:themeColor="text1"/>
          <w:sz w:val="22"/>
          <w:szCs w:val="22"/>
        </w:rPr>
        <w:t>“</w:t>
      </w:r>
      <w:proofErr w:type="spellStart"/>
      <w:r w:rsidR="0081786F" w:rsidRPr="005E12E5">
        <w:rPr>
          <w:bCs/>
          <w:color w:val="000000" w:themeColor="text1"/>
          <w:sz w:val="22"/>
          <w:szCs w:val="22"/>
        </w:rPr>
        <w:t>اجنبي</w:t>
      </w:r>
      <w:proofErr w:type="spellEnd"/>
      <w:r w:rsidR="0081786F" w:rsidRPr="005E12E5">
        <w:rPr>
          <w:bCs/>
          <w:color w:val="000000" w:themeColor="text1"/>
          <w:sz w:val="22"/>
          <w:szCs w:val="22"/>
        </w:rPr>
        <w:t>”</w:t>
      </w:r>
      <w:r w:rsidR="00655FD4">
        <w:rPr>
          <w:rStyle w:val="FootnoteReference"/>
          <w:bCs/>
          <w:color w:val="000000" w:themeColor="text1"/>
          <w:sz w:val="22"/>
          <w:szCs w:val="22"/>
        </w:rPr>
        <w:footnoteReference w:id="8"/>
      </w:r>
      <w:r w:rsidR="0081786F" w:rsidRPr="005E12E5">
        <w:rPr>
          <w:bCs/>
          <w:color w:val="000000" w:themeColor="text1"/>
          <w:sz w:val="22"/>
          <w:szCs w:val="22"/>
        </w:rPr>
        <w:t xml:space="preserve"> (barbarian, alien).</w:t>
      </w:r>
    </w:p>
    <w:p w14:paraId="208DDC52" w14:textId="426B681E" w:rsidR="0081786F" w:rsidRPr="0081786F" w:rsidRDefault="0081786F" w:rsidP="0081786F">
      <w:pPr>
        <w:ind w:firstLine="720"/>
        <w:jc w:val="both"/>
        <w:rPr>
          <w:bCs/>
          <w:color w:val="000000" w:themeColor="text1"/>
          <w:sz w:val="22"/>
          <w:szCs w:val="22"/>
          <w:lang w:val="en-US"/>
        </w:rPr>
      </w:pPr>
    </w:p>
    <w:p w14:paraId="5E2EC20E" w14:textId="2E8AFCA6" w:rsidR="00794A04" w:rsidRPr="005E12E5" w:rsidRDefault="00B14C91" w:rsidP="0081786F">
      <w:pPr>
        <w:ind w:firstLine="720"/>
        <w:jc w:val="both"/>
        <w:rPr>
          <w:bCs/>
          <w:color w:val="000000" w:themeColor="text1"/>
          <w:sz w:val="22"/>
          <w:szCs w:val="22"/>
        </w:rPr>
      </w:pPr>
      <w:r w:rsidRPr="005E12E5">
        <w:rPr>
          <w:bCs/>
          <w:color w:val="000000" w:themeColor="text1"/>
          <w:sz w:val="22"/>
          <w:szCs w:val="22"/>
        </w:rPr>
        <w:t xml:space="preserve">This research will provide a rich </w:t>
      </w:r>
      <w:r w:rsidR="001D41E8" w:rsidRPr="005E12E5">
        <w:rPr>
          <w:bCs/>
          <w:color w:val="000000" w:themeColor="text1"/>
          <w:sz w:val="22"/>
          <w:szCs w:val="22"/>
        </w:rPr>
        <w:t>analysis</w:t>
      </w:r>
      <w:r w:rsidRPr="005E12E5">
        <w:rPr>
          <w:bCs/>
          <w:color w:val="000000" w:themeColor="text1"/>
          <w:sz w:val="22"/>
          <w:szCs w:val="22"/>
        </w:rPr>
        <w:t xml:space="preserve"> of how Persian swearwords and political invectives have varied over time, and across </w:t>
      </w:r>
      <w:r w:rsidR="00916357" w:rsidRPr="005E12E5">
        <w:rPr>
          <w:bCs/>
          <w:color w:val="000000" w:themeColor="text1"/>
          <w:sz w:val="22"/>
          <w:szCs w:val="22"/>
        </w:rPr>
        <w:t>members of political parties</w:t>
      </w:r>
      <w:r w:rsidRPr="005E12E5">
        <w:rPr>
          <w:bCs/>
          <w:color w:val="000000" w:themeColor="text1"/>
          <w:sz w:val="22"/>
          <w:szCs w:val="22"/>
        </w:rPr>
        <w:t xml:space="preserve"> during the first half of the 20</w:t>
      </w:r>
      <w:r w:rsidRPr="005E12E5">
        <w:rPr>
          <w:bCs/>
          <w:color w:val="000000" w:themeColor="text1"/>
          <w:sz w:val="22"/>
          <w:szCs w:val="22"/>
          <w:vertAlign w:val="superscript"/>
        </w:rPr>
        <w:t>th</w:t>
      </w:r>
      <w:r w:rsidRPr="005E12E5">
        <w:rPr>
          <w:bCs/>
          <w:color w:val="000000" w:themeColor="text1"/>
          <w:sz w:val="22"/>
          <w:szCs w:val="22"/>
        </w:rPr>
        <w:t xml:space="preserve"> century in Iran. </w:t>
      </w:r>
      <w:r w:rsidR="00C66B50" w:rsidRPr="005E12E5">
        <w:rPr>
          <w:bCs/>
          <w:color w:val="000000" w:themeColor="text1"/>
          <w:sz w:val="22"/>
          <w:szCs w:val="22"/>
        </w:rPr>
        <w:t xml:space="preserve">To my knowledge, this has not been studied to date and, as such, this work will make important contributions to Iranian studies, and, more generally, to </w:t>
      </w:r>
      <w:r w:rsidR="00E04101">
        <w:rPr>
          <w:bCs/>
          <w:color w:val="000000" w:themeColor="text1"/>
          <w:sz w:val="22"/>
          <w:szCs w:val="22"/>
        </w:rPr>
        <w:t xml:space="preserve">Persian studies, </w:t>
      </w:r>
      <w:r w:rsidR="00C66B50" w:rsidRPr="005E12E5">
        <w:rPr>
          <w:bCs/>
          <w:color w:val="000000" w:themeColor="text1"/>
          <w:sz w:val="22"/>
          <w:szCs w:val="22"/>
        </w:rPr>
        <w:t xml:space="preserve">linguistics, </w:t>
      </w:r>
      <w:r w:rsidR="008B045D">
        <w:rPr>
          <w:bCs/>
          <w:color w:val="000000" w:themeColor="text1"/>
          <w:sz w:val="22"/>
          <w:szCs w:val="22"/>
        </w:rPr>
        <w:t>historical studies,</w:t>
      </w:r>
      <w:r w:rsidR="00C66B50" w:rsidRPr="005E12E5">
        <w:rPr>
          <w:bCs/>
          <w:color w:val="000000" w:themeColor="text1"/>
          <w:sz w:val="22"/>
          <w:szCs w:val="22"/>
        </w:rPr>
        <w:t xml:space="preserve"> and social science</w:t>
      </w:r>
      <w:r w:rsidR="00531FDB">
        <w:rPr>
          <w:bCs/>
          <w:color w:val="000000" w:themeColor="text1"/>
          <w:sz w:val="22"/>
          <w:szCs w:val="22"/>
        </w:rPr>
        <w:t xml:space="preserve"> and humanities</w:t>
      </w:r>
      <w:r w:rsidR="00C66B50" w:rsidRPr="005E12E5">
        <w:rPr>
          <w:bCs/>
          <w:color w:val="000000" w:themeColor="text1"/>
          <w:sz w:val="22"/>
          <w:szCs w:val="22"/>
        </w:rPr>
        <w:t>.</w:t>
      </w:r>
    </w:p>
    <w:p w14:paraId="5AFDA925" w14:textId="77777777" w:rsidR="003B1837" w:rsidRPr="005E12E5" w:rsidRDefault="003B1837" w:rsidP="00234ABF">
      <w:pPr>
        <w:jc w:val="both"/>
        <w:rPr>
          <w:b/>
          <w:bCs/>
          <w:color w:val="000000" w:themeColor="text1"/>
          <w:sz w:val="22"/>
          <w:szCs w:val="22"/>
          <w:u w:val="single"/>
        </w:rPr>
      </w:pPr>
    </w:p>
    <w:p w14:paraId="3F0A0041" w14:textId="309EE681" w:rsidR="00C66B50" w:rsidRPr="005E12E5" w:rsidRDefault="0034018C" w:rsidP="00234ABF">
      <w:pPr>
        <w:jc w:val="both"/>
        <w:rPr>
          <w:b/>
          <w:bCs/>
          <w:color w:val="000000" w:themeColor="text1"/>
          <w:sz w:val="22"/>
          <w:szCs w:val="22"/>
          <w:u w:val="single"/>
        </w:rPr>
      </w:pPr>
      <w:r w:rsidRPr="005E12E5">
        <w:rPr>
          <w:b/>
          <w:bCs/>
          <w:color w:val="000000" w:themeColor="text1"/>
          <w:sz w:val="22"/>
          <w:szCs w:val="22"/>
          <w:u w:val="single"/>
        </w:rPr>
        <w:t>Motivation for the Proposed Research</w:t>
      </w:r>
    </w:p>
    <w:p w14:paraId="657FF5E2" w14:textId="766ECEE1" w:rsidR="00434889" w:rsidRPr="005E12E5" w:rsidRDefault="00EF21D8" w:rsidP="00234ABF">
      <w:pPr>
        <w:ind w:firstLine="720"/>
        <w:jc w:val="both"/>
        <w:rPr>
          <w:sz w:val="22"/>
          <w:szCs w:val="22"/>
        </w:rPr>
      </w:pPr>
      <w:r w:rsidRPr="005E12E5">
        <w:rPr>
          <w:bCs/>
          <w:sz w:val="22"/>
          <w:szCs w:val="22"/>
        </w:rPr>
        <w:t xml:space="preserve">My research </w:t>
      </w:r>
      <w:r w:rsidR="00283956" w:rsidRPr="005E12E5">
        <w:rPr>
          <w:bCs/>
          <w:sz w:val="22"/>
          <w:szCs w:val="22"/>
        </w:rPr>
        <w:t>is</w:t>
      </w:r>
      <w:r w:rsidRPr="005E12E5">
        <w:rPr>
          <w:bCs/>
          <w:sz w:val="22"/>
          <w:szCs w:val="22"/>
        </w:rPr>
        <w:t xml:space="preserve"> situated in the area of emotion language and its intersection with multiple </w:t>
      </w:r>
      <w:r w:rsidR="00735322" w:rsidRPr="005E12E5">
        <w:rPr>
          <w:bCs/>
          <w:sz w:val="22"/>
          <w:szCs w:val="22"/>
        </w:rPr>
        <w:t xml:space="preserve">contextual </w:t>
      </w:r>
      <w:r w:rsidRPr="005E12E5">
        <w:rPr>
          <w:bCs/>
          <w:sz w:val="22"/>
          <w:szCs w:val="22"/>
        </w:rPr>
        <w:t>variables</w:t>
      </w:r>
      <w:r w:rsidRPr="005E12E5">
        <w:rPr>
          <w:sz w:val="22"/>
          <w:szCs w:val="22"/>
        </w:rPr>
        <w:t xml:space="preserve"> such as culture, historical and political circumstances, ideological orientations, </w:t>
      </w:r>
      <w:r w:rsidR="001D41E8" w:rsidRPr="005E12E5">
        <w:rPr>
          <w:sz w:val="22"/>
          <w:szCs w:val="22"/>
        </w:rPr>
        <w:t xml:space="preserve">and </w:t>
      </w:r>
      <w:r w:rsidRPr="005E12E5">
        <w:rPr>
          <w:sz w:val="22"/>
          <w:szCs w:val="22"/>
        </w:rPr>
        <w:t>socio-biographical variables (age, gender, education, social class</w:t>
      </w:r>
      <w:r w:rsidR="0042119E">
        <w:rPr>
          <w:sz w:val="22"/>
          <w:szCs w:val="22"/>
        </w:rPr>
        <w:t xml:space="preserve">). </w:t>
      </w:r>
      <w:r w:rsidR="00F0586D" w:rsidRPr="005E12E5">
        <w:rPr>
          <w:bCs/>
          <w:color w:val="000000" w:themeColor="text1"/>
          <w:sz w:val="22"/>
          <w:szCs w:val="22"/>
        </w:rPr>
        <w:t xml:space="preserve">I am particularly interested in investigating </w:t>
      </w:r>
      <w:r w:rsidR="00F0586D" w:rsidRPr="005E12E5">
        <w:rPr>
          <w:bCs/>
          <w:sz w:val="22"/>
          <w:szCs w:val="22"/>
        </w:rPr>
        <w:t>s</w:t>
      </w:r>
      <w:r w:rsidR="00635D73" w:rsidRPr="005E12E5">
        <w:rPr>
          <w:bCs/>
          <w:sz w:val="22"/>
          <w:szCs w:val="22"/>
        </w:rPr>
        <w:t>wearwords</w:t>
      </w:r>
      <w:r w:rsidR="001032BD">
        <w:rPr>
          <w:bCs/>
          <w:sz w:val="22"/>
          <w:szCs w:val="22"/>
        </w:rPr>
        <w:t xml:space="preserve"> (</w:t>
      </w:r>
      <w:r w:rsidR="00F0586D" w:rsidRPr="005E12E5">
        <w:rPr>
          <w:bCs/>
          <w:sz w:val="22"/>
          <w:szCs w:val="22"/>
        </w:rPr>
        <w:t xml:space="preserve">my Master </w:t>
      </w:r>
      <w:r w:rsidR="00106324">
        <w:rPr>
          <w:bCs/>
          <w:sz w:val="22"/>
          <w:szCs w:val="22"/>
        </w:rPr>
        <w:t xml:space="preserve">(Shakiba, 2003), </w:t>
      </w:r>
      <w:r w:rsidR="00F0586D" w:rsidRPr="005E12E5">
        <w:rPr>
          <w:bCs/>
          <w:sz w:val="22"/>
          <w:szCs w:val="22"/>
        </w:rPr>
        <w:t>and PhD</w:t>
      </w:r>
      <w:r w:rsidR="00106324">
        <w:rPr>
          <w:bCs/>
          <w:sz w:val="22"/>
          <w:szCs w:val="22"/>
        </w:rPr>
        <w:t xml:space="preserve"> (</w:t>
      </w:r>
      <w:r w:rsidR="00533F8B">
        <w:rPr>
          <w:bCs/>
          <w:sz w:val="22"/>
          <w:szCs w:val="22"/>
        </w:rPr>
        <w:t>Shakiba, 2019</w:t>
      </w:r>
      <w:r w:rsidR="00F0586D" w:rsidRPr="005E12E5">
        <w:rPr>
          <w:bCs/>
          <w:sz w:val="22"/>
          <w:szCs w:val="22"/>
        </w:rPr>
        <w:t>)</w:t>
      </w:r>
      <w:r w:rsidR="00533F8B">
        <w:rPr>
          <w:bCs/>
          <w:sz w:val="22"/>
          <w:szCs w:val="22"/>
        </w:rPr>
        <w:t>)</w:t>
      </w:r>
      <w:r w:rsidR="00F0586D" w:rsidRPr="005E12E5">
        <w:rPr>
          <w:bCs/>
          <w:sz w:val="22"/>
          <w:szCs w:val="22"/>
        </w:rPr>
        <w:t xml:space="preserve"> and </w:t>
      </w:r>
      <w:r w:rsidR="00432E33" w:rsidRPr="005E12E5">
        <w:rPr>
          <w:bCs/>
          <w:sz w:val="22"/>
          <w:szCs w:val="22"/>
        </w:rPr>
        <w:t>invective</w:t>
      </w:r>
      <w:r w:rsidR="006B2407" w:rsidRPr="005E12E5">
        <w:rPr>
          <w:bCs/>
          <w:sz w:val="22"/>
          <w:szCs w:val="22"/>
        </w:rPr>
        <w:t xml:space="preserve"> </w:t>
      </w:r>
      <w:r w:rsidR="0022234F" w:rsidRPr="005E12E5">
        <w:rPr>
          <w:bCs/>
          <w:sz w:val="22"/>
          <w:szCs w:val="22"/>
        </w:rPr>
        <w:t xml:space="preserve">and </w:t>
      </w:r>
      <w:r w:rsidR="00B65792" w:rsidRPr="005E12E5">
        <w:rPr>
          <w:bCs/>
          <w:sz w:val="22"/>
          <w:szCs w:val="22"/>
        </w:rPr>
        <w:t>satire</w:t>
      </w:r>
      <w:r w:rsidR="0022234F" w:rsidRPr="005E12E5">
        <w:rPr>
          <w:bCs/>
          <w:sz w:val="22"/>
          <w:szCs w:val="22"/>
        </w:rPr>
        <w:t xml:space="preserve"> </w:t>
      </w:r>
      <w:r w:rsidR="006B2407" w:rsidRPr="005E12E5">
        <w:rPr>
          <w:bCs/>
          <w:sz w:val="22"/>
          <w:szCs w:val="22"/>
        </w:rPr>
        <w:t>language</w:t>
      </w:r>
      <w:r w:rsidR="00F0586D" w:rsidRPr="005E12E5">
        <w:rPr>
          <w:bCs/>
          <w:sz w:val="22"/>
          <w:szCs w:val="22"/>
        </w:rPr>
        <w:t xml:space="preserve"> (my postdoctoral work)</w:t>
      </w:r>
      <w:r w:rsidR="00635D73" w:rsidRPr="005E12E5">
        <w:rPr>
          <w:bCs/>
          <w:sz w:val="22"/>
          <w:szCs w:val="22"/>
        </w:rPr>
        <w:t xml:space="preserve"> </w:t>
      </w:r>
      <w:r w:rsidR="0034018C" w:rsidRPr="005E12E5">
        <w:rPr>
          <w:bCs/>
          <w:sz w:val="22"/>
          <w:szCs w:val="22"/>
        </w:rPr>
        <w:t xml:space="preserve">in the Persian language </w:t>
      </w:r>
      <w:r w:rsidR="005D30C6" w:rsidRPr="005E12E5">
        <w:rPr>
          <w:bCs/>
          <w:sz w:val="22"/>
          <w:szCs w:val="22"/>
        </w:rPr>
        <w:t xml:space="preserve">for two reasons: 1) </w:t>
      </w:r>
      <w:r w:rsidR="00105E78" w:rsidRPr="005E12E5">
        <w:rPr>
          <w:bCs/>
          <w:sz w:val="22"/>
          <w:szCs w:val="22"/>
        </w:rPr>
        <w:t>both swearwords and invective language</w:t>
      </w:r>
      <w:r w:rsidR="00105E78" w:rsidRPr="005E12E5" w:rsidDel="005D30C6">
        <w:rPr>
          <w:bCs/>
          <w:sz w:val="22"/>
          <w:szCs w:val="22"/>
        </w:rPr>
        <w:t xml:space="preserve"> </w:t>
      </w:r>
      <w:r w:rsidR="00105E78" w:rsidRPr="005E12E5">
        <w:rPr>
          <w:bCs/>
          <w:sz w:val="22"/>
          <w:szCs w:val="22"/>
        </w:rPr>
        <w:t xml:space="preserve">are </w:t>
      </w:r>
      <w:r w:rsidR="00635D73" w:rsidRPr="005E12E5">
        <w:rPr>
          <w:bCs/>
          <w:sz w:val="22"/>
          <w:szCs w:val="22"/>
        </w:rPr>
        <w:t>significant indicators of emotion language</w:t>
      </w:r>
      <w:r w:rsidR="0034018C" w:rsidRPr="005E12E5">
        <w:rPr>
          <w:bCs/>
          <w:sz w:val="22"/>
          <w:szCs w:val="22"/>
        </w:rPr>
        <w:t xml:space="preserve"> </w:t>
      </w:r>
      <w:r w:rsidR="0034018C" w:rsidRPr="005E12E5">
        <w:rPr>
          <w:bCs/>
          <w:sz w:val="22"/>
          <w:szCs w:val="22"/>
        </w:rPr>
        <w:lastRenderedPageBreak/>
        <w:t>and play a pivotal role in communication</w:t>
      </w:r>
      <w:r w:rsidR="00105E78" w:rsidRPr="005E12E5">
        <w:rPr>
          <w:bCs/>
          <w:sz w:val="22"/>
          <w:szCs w:val="22"/>
        </w:rPr>
        <w:t>; and 2) both are used to express group membership and to create social boundaries</w:t>
      </w:r>
      <w:r w:rsidR="00F0586D" w:rsidRPr="005E12E5">
        <w:rPr>
          <w:bCs/>
          <w:sz w:val="22"/>
          <w:szCs w:val="22"/>
        </w:rPr>
        <w:t>.</w:t>
      </w:r>
      <w:r w:rsidR="00434889" w:rsidRPr="005E12E5">
        <w:rPr>
          <w:bCs/>
          <w:sz w:val="22"/>
          <w:szCs w:val="22"/>
        </w:rPr>
        <w:t xml:space="preserve"> </w:t>
      </w:r>
    </w:p>
    <w:p w14:paraId="7BE0A4BC" w14:textId="77777777" w:rsidR="003B1837" w:rsidRPr="005E12E5" w:rsidRDefault="003B1837" w:rsidP="00234ABF">
      <w:pPr>
        <w:ind w:firstLine="720"/>
        <w:jc w:val="both"/>
        <w:rPr>
          <w:sz w:val="22"/>
          <w:szCs w:val="22"/>
        </w:rPr>
      </w:pPr>
    </w:p>
    <w:p w14:paraId="63B251FB" w14:textId="504ED8D1" w:rsidR="00105E78" w:rsidRPr="005E12E5" w:rsidRDefault="00434889" w:rsidP="00234ABF">
      <w:pPr>
        <w:ind w:firstLine="720"/>
        <w:jc w:val="both"/>
        <w:rPr>
          <w:sz w:val="22"/>
          <w:szCs w:val="22"/>
        </w:rPr>
      </w:pPr>
      <w:r w:rsidRPr="005E12E5">
        <w:rPr>
          <w:sz w:val="22"/>
          <w:szCs w:val="22"/>
        </w:rPr>
        <w:t>Practically, swearwords are like a tool box which can be used for a variety of emotional expressions.</w:t>
      </w:r>
      <w:r w:rsidRPr="005E12E5">
        <w:rPr>
          <w:color w:val="000000"/>
          <w:sz w:val="22"/>
          <w:szCs w:val="22"/>
        </w:rPr>
        <w:t xml:space="preserve"> There is no other way to express anger and frustration and convey the same level of contempt in polite language (Jay &amp; </w:t>
      </w:r>
      <w:proofErr w:type="spellStart"/>
      <w:r w:rsidRPr="005E12E5">
        <w:rPr>
          <w:color w:val="000000"/>
          <w:sz w:val="22"/>
          <w:szCs w:val="22"/>
        </w:rPr>
        <w:t>Janschewitz</w:t>
      </w:r>
      <w:proofErr w:type="spellEnd"/>
      <w:r w:rsidRPr="005E12E5">
        <w:rPr>
          <w:color w:val="000000"/>
          <w:sz w:val="22"/>
          <w:szCs w:val="22"/>
        </w:rPr>
        <w:t>, 2007</w:t>
      </w:r>
      <w:r w:rsidRPr="005E12E5">
        <w:rPr>
          <w:sz w:val="22"/>
          <w:szCs w:val="22"/>
        </w:rPr>
        <w:t>; Stapleton, 2010; Jay, 2000). Swearwords also express habitual language and in-group slang in order to strengthen social harmony, cohesion or create social boundaries, this way becoming an isogloss between social groups (</w:t>
      </w:r>
      <w:proofErr w:type="spellStart"/>
      <w:r w:rsidRPr="005E12E5">
        <w:rPr>
          <w:sz w:val="22"/>
          <w:szCs w:val="22"/>
        </w:rPr>
        <w:t>Dewaele</w:t>
      </w:r>
      <w:proofErr w:type="spellEnd"/>
      <w:r w:rsidRPr="005E12E5">
        <w:rPr>
          <w:sz w:val="22"/>
          <w:szCs w:val="22"/>
        </w:rPr>
        <w:t>, 2004). Similarly, the use of invective language serves as a way to express emotion and social affiliation. Invective language is shaped by context, particularly historic eras characterized by prominent ideological conflicts between political parties</w:t>
      </w:r>
      <w:r w:rsidR="00ED4423" w:rsidRPr="005E12E5">
        <w:rPr>
          <w:sz w:val="22"/>
          <w:szCs w:val="22"/>
        </w:rPr>
        <w:t>,</w:t>
      </w:r>
      <w:r w:rsidRPr="005E12E5">
        <w:rPr>
          <w:sz w:val="22"/>
          <w:szCs w:val="22"/>
        </w:rPr>
        <w:t xml:space="preserve"> such as the period 1900-1953 in Iran. </w:t>
      </w:r>
      <w:r w:rsidR="00B13C46" w:rsidRPr="005E12E5">
        <w:rPr>
          <w:sz w:val="22"/>
          <w:szCs w:val="22"/>
        </w:rPr>
        <w:t>W</w:t>
      </w:r>
      <w:r w:rsidRPr="005E12E5">
        <w:rPr>
          <w:sz w:val="22"/>
          <w:szCs w:val="22"/>
        </w:rPr>
        <w:t xml:space="preserve">hen members of a political party use swearwords, this can jeopardise their public image. However, they may use it strategically to emphasize a particular argument while taking the associated risk for a potential reward. This way, invective language serves as a social signal and </w:t>
      </w:r>
      <w:r w:rsidR="00B13C46" w:rsidRPr="005E12E5">
        <w:rPr>
          <w:sz w:val="22"/>
          <w:szCs w:val="22"/>
        </w:rPr>
        <w:t xml:space="preserve">its </w:t>
      </w:r>
      <w:r w:rsidRPr="005E12E5">
        <w:rPr>
          <w:sz w:val="22"/>
          <w:szCs w:val="22"/>
        </w:rPr>
        <w:t xml:space="preserve">use is associated with emotional arousal. There is a belief that when members of a political party use invective language, they are perceived as genuine, passionate, authentic, trustworthy, more emotionally involved in their statements, and easier to relate to ordinary people, which is likely to increase their popularity and acceptance among their supporters.  </w:t>
      </w:r>
    </w:p>
    <w:p w14:paraId="0EEC366C" w14:textId="77777777" w:rsidR="003B1837" w:rsidRPr="005E12E5" w:rsidRDefault="003B1837" w:rsidP="00234ABF">
      <w:pPr>
        <w:ind w:firstLine="720"/>
        <w:jc w:val="both"/>
        <w:rPr>
          <w:sz w:val="22"/>
          <w:szCs w:val="22"/>
        </w:rPr>
      </w:pPr>
    </w:p>
    <w:p w14:paraId="66DA3C84" w14:textId="3449E38B" w:rsidR="00361DD2" w:rsidRPr="005E12E5" w:rsidRDefault="00B13C46" w:rsidP="00234ABF">
      <w:pPr>
        <w:ind w:firstLine="720"/>
        <w:jc w:val="both"/>
        <w:rPr>
          <w:sz w:val="22"/>
          <w:szCs w:val="22"/>
        </w:rPr>
      </w:pPr>
      <w:bookmarkStart w:id="2" w:name="_Hlk110804187"/>
      <w:r w:rsidRPr="005E12E5">
        <w:rPr>
          <w:sz w:val="22"/>
          <w:szCs w:val="22"/>
        </w:rPr>
        <w:t xml:space="preserve">The </w:t>
      </w:r>
      <w:r w:rsidR="006B6458" w:rsidRPr="005E12E5">
        <w:rPr>
          <w:sz w:val="22"/>
          <w:szCs w:val="22"/>
        </w:rPr>
        <w:t>fundamental</w:t>
      </w:r>
      <w:r w:rsidRPr="005E12E5">
        <w:rPr>
          <w:sz w:val="22"/>
          <w:szCs w:val="22"/>
        </w:rPr>
        <w:t xml:space="preserve"> argument of my research is that </w:t>
      </w:r>
      <w:r w:rsidR="000D0F7B" w:rsidRPr="005E12E5">
        <w:rPr>
          <w:sz w:val="22"/>
          <w:szCs w:val="22"/>
        </w:rPr>
        <w:t xml:space="preserve">speakers’ context significantly shapes the intent, use and impact of </w:t>
      </w:r>
      <w:r w:rsidR="005A01BC" w:rsidRPr="005E12E5">
        <w:rPr>
          <w:sz w:val="22"/>
          <w:szCs w:val="22"/>
        </w:rPr>
        <w:t xml:space="preserve">swearwords </w:t>
      </w:r>
      <w:r w:rsidR="00F0586D" w:rsidRPr="005E12E5">
        <w:rPr>
          <w:sz w:val="22"/>
          <w:szCs w:val="22"/>
        </w:rPr>
        <w:t>and invective language</w:t>
      </w:r>
      <w:r w:rsidR="001D41E8" w:rsidRPr="005E12E5">
        <w:rPr>
          <w:sz w:val="22"/>
          <w:szCs w:val="22"/>
        </w:rPr>
        <w:t>.</w:t>
      </w:r>
      <w:r w:rsidR="00F0586D" w:rsidRPr="005E12E5">
        <w:rPr>
          <w:sz w:val="22"/>
          <w:szCs w:val="22"/>
        </w:rPr>
        <w:t xml:space="preserve"> </w:t>
      </w:r>
      <w:r w:rsidR="00372F39" w:rsidRPr="005E12E5">
        <w:rPr>
          <w:sz w:val="22"/>
          <w:szCs w:val="22"/>
        </w:rPr>
        <w:t xml:space="preserve">To this end, my Master and PhD work was an examination of the effect of socio-biographical variables on the use of swearwords by Persian speakers. My postdoctoral work will </w:t>
      </w:r>
      <w:r w:rsidR="005D30C6" w:rsidRPr="005E12E5">
        <w:rPr>
          <w:sz w:val="22"/>
          <w:szCs w:val="22"/>
        </w:rPr>
        <w:t xml:space="preserve">remain focused on the Persian language </w:t>
      </w:r>
      <w:r w:rsidR="0034018C" w:rsidRPr="005E12E5">
        <w:rPr>
          <w:sz w:val="22"/>
          <w:szCs w:val="22"/>
        </w:rPr>
        <w:t>but</w:t>
      </w:r>
      <w:r w:rsidR="005D30C6" w:rsidRPr="005E12E5">
        <w:rPr>
          <w:sz w:val="22"/>
          <w:szCs w:val="22"/>
        </w:rPr>
        <w:t xml:space="preserve"> it will </w:t>
      </w:r>
      <w:r w:rsidR="00372F39" w:rsidRPr="005E12E5">
        <w:rPr>
          <w:sz w:val="22"/>
          <w:szCs w:val="22"/>
        </w:rPr>
        <w:t xml:space="preserve">expand and deepen </w:t>
      </w:r>
      <w:r w:rsidR="005D30C6" w:rsidRPr="005E12E5">
        <w:rPr>
          <w:sz w:val="22"/>
          <w:szCs w:val="22"/>
        </w:rPr>
        <w:t>my graduate</w:t>
      </w:r>
      <w:r w:rsidR="00372F39" w:rsidRPr="005E12E5">
        <w:rPr>
          <w:sz w:val="22"/>
          <w:szCs w:val="22"/>
        </w:rPr>
        <w:t xml:space="preserve"> research by </w:t>
      </w:r>
      <w:r w:rsidR="0034018C" w:rsidRPr="005E12E5">
        <w:rPr>
          <w:sz w:val="22"/>
          <w:szCs w:val="22"/>
        </w:rPr>
        <w:t xml:space="preserve">1) operationalizing emotion language as expressions of political satire and invectives during a historic period of </w:t>
      </w:r>
      <w:r w:rsidR="00434889" w:rsidRPr="005E12E5">
        <w:rPr>
          <w:sz w:val="22"/>
          <w:szCs w:val="22"/>
        </w:rPr>
        <w:t xml:space="preserve">significant </w:t>
      </w:r>
      <w:r w:rsidR="0034018C" w:rsidRPr="005E12E5">
        <w:rPr>
          <w:sz w:val="22"/>
          <w:szCs w:val="22"/>
        </w:rPr>
        <w:t>conflict</w:t>
      </w:r>
      <w:r w:rsidR="00434889" w:rsidRPr="005E12E5">
        <w:rPr>
          <w:sz w:val="22"/>
          <w:szCs w:val="22"/>
        </w:rPr>
        <w:t xml:space="preserve"> in Iran</w:t>
      </w:r>
      <w:r w:rsidR="0034018C" w:rsidRPr="005E12E5">
        <w:rPr>
          <w:sz w:val="22"/>
          <w:szCs w:val="22"/>
        </w:rPr>
        <w:t xml:space="preserve">; and 2) defining the </w:t>
      </w:r>
      <w:r w:rsidR="00105E78" w:rsidRPr="005E12E5">
        <w:rPr>
          <w:sz w:val="22"/>
          <w:szCs w:val="22"/>
        </w:rPr>
        <w:t>context</w:t>
      </w:r>
      <w:r w:rsidR="005D30C6" w:rsidRPr="005E12E5">
        <w:rPr>
          <w:sz w:val="22"/>
          <w:szCs w:val="22"/>
        </w:rPr>
        <w:t xml:space="preserve"> more broadly</w:t>
      </w:r>
      <w:r w:rsidR="00434889" w:rsidRPr="005E12E5">
        <w:rPr>
          <w:sz w:val="22"/>
          <w:szCs w:val="22"/>
        </w:rPr>
        <w:t xml:space="preserve"> (i.e., going beyond the socio-biographical characteristics of the speakers)</w:t>
      </w:r>
      <w:r w:rsidR="005D30C6" w:rsidRPr="005E12E5">
        <w:rPr>
          <w:sz w:val="22"/>
          <w:szCs w:val="22"/>
        </w:rPr>
        <w:t xml:space="preserve">. Specifically, I will analyze the effect of the </w:t>
      </w:r>
      <w:r w:rsidR="00105E78" w:rsidRPr="005E12E5">
        <w:rPr>
          <w:sz w:val="22"/>
          <w:szCs w:val="22"/>
        </w:rPr>
        <w:t xml:space="preserve">larger </w:t>
      </w:r>
      <w:r w:rsidR="005D30C6" w:rsidRPr="005E12E5">
        <w:rPr>
          <w:sz w:val="22"/>
          <w:szCs w:val="22"/>
        </w:rPr>
        <w:t xml:space="preserve">political context </w:t>
      </w:r>
      <w:r w:rsidR="00105E78" w:rsidRPr="005E12E5">
        <w:rPr>
          <w:sz w:val="22"/>
          <w:szCs w:val="22"/>
        </w:rPr>
        <w:t xml:space="preserve">in Iran during </w:t>
      </w:r>
      <w:r w:rsidR="00105E78" w:rsidRPr="005E12E5">
        <w:rPr>
          <w:bCs/>
          <w:sz w:val="22"/>
          <w:szCs w:val="22"/>
        </w:rPr>
        <w:t>early to mid 20</w:t>
      </w:r>
      <w:r w:rsidR="00105E78" w:rsidRPr="005E12E5">
        <w:rPr>
          <w:bCs/>
          <w:sz w:val="22"/>
          <w:szCs w:val="22"/>
          <w:vertAlign w:val="superscript"/>
        </w:rPr>
        <w:t>th</w:t>
      </w:r>
      <w:r w:rsidR="00105E78" w:rsidRPr="005E12E5">
        <w:rPr>
          <w:bCs/>
          <w:sz w:val="22"/>
          <w:szCs w:val="22"/>
        </w:rPr>
        <w:t xml:space="preserve"> century</w:t>
      </w:r>
      <w:r w:rsidR="00105E78" w:rsidRPr="005E12E5">
        <w:rPr>
          <w:sz w:val="22"/>
          <w:szCs w:val="22"/>
        </w:rPr>
        <w:t xml:space="preserve"> and its effect </w:t>
      </w:r>
      <w:r w:rsidR="005D30C6" w:rsidRPr="005E12E5">
        <w:rPr>
          <w:sz w:val="22"/>
          <w:szCs w:val="22"/>
        </w:rPr>
        <w:t xml:space="preserve">on </w:t>
      </w:r>
      <w:r w:rsidR="00105E78" w:rsidRPr="005E12E5">
        <w:rPr>
          <w:sz w:val="22"/>
          <w:szCs w:val="22"/>
        </w:rPr>
        <w:t xml:space="preserve">the use of </w:t>
      </w:r>
      <w:r w:rsidR="005D30C6" w:rsidRPr="005E12E5">
        <w:rPr>
          <w:sz w:val="22"/>
          <w:szCs w:val="22"/>
        </w:rPr>
        <w:t>invective language</w:t>
      </w:r>
      <w:r w:rsidR="00105E78" w:rsidRPr="005E12E5">
        <w:rPr>
          <w:sz w:val="22"/>
          <w:szCs w:val="22"/>
        </w:rPr>
        <w:t>.</w:t>
      </w:r>
      <w:bookmarkEnd w:id="2"/>
      <w:r w:rsidR="00105E78" w:rsidRPr="005E12E5">
        <w:rPr>
          <w:sz w:val="22"/>
          <w:szCs w:val="22"/>
        </w:rPr>
        <w:t xml:space="preserve"> </w:t>
      </w:r>
      <w:bookmarkStart w:id="3" w:name="_Hlk110805018"/>
      <w:r w:rsidRPr="005E12E5">
        <w:rPr>
          <w:sz w:val="22"/>
          <w:szCs w:val="22"/>
        </w:rPr>
        <w:t>D</w:t>
      </w:r>
      <w:r w:rsidR="00C81CDF" w:rsidRPr="005E12E5">
        <w:rPr>
          <w:sz w:val="22"/>
          <w:szCs w:val="22"/>
        </w:rPr>
        <w:t xml:space="preserve">uring my postdoctoral fellowship, I plan to </w:t>
      </w:r>
      <w:r w:rsidR="00434889" w:rsidRPr="005E12E5">
        <w:rPr>
          <w:sz w:val="22"/>
          <w:szCs w:val="22"/>
        </w:rPr>
        <w:t xml:space="preserve">synthesize </w:t>
      </w:r>
      <w:r w:rsidR="00C81CDF" w:rsidRPr="005E12E5">
        <w:rPr>
          <w:sz w:val="22"/>
          <w:szCs w:val="22"/>
        </w:rPr>
        <w:t xml:space="preserve">my doctoral </w:t>
      </w:r>
      <w:r w:rsidR="00434889" w:rsidRPr="005E12E5">
        <w:rPr>
          <w:sz w:val="22"/>
          <w:szCs w:val="22"/>
        </w:rPr>
        <w:t xml:space="preserve">research and combine it with the proposed </w:t>
      </w:r>
      <w:r w:rsidR="00C81CDF" w:rsidRPr="005E12E5">
        <w:rPr>
          <w:sz w:val="22"/>
          <w:szCs w:val="22"/>
        </w:rPr>
        <w:t>postdoctoral work</w:t>
      </w:r>
      <w:r w:rsidR="0080027C" w:rsidRPr="005E12E5">
        <w:rPr>
          <w:sz w:val="22"/>
          <w:szCs w:val="22"/>
        </w:rPr>
        <w:t>. My goal is to publish a book that provides a rich analysis</w:t>
      </w:r>
      <w:r w:rsidR="00C81CDF" w:rsidRPr="005E12E5">
        <w:rPr>
          <w:sz w:val="22"/>
          <w:szCs w:val="22"/>
        </w:rPr>
        <w:t xml:space="preserve"> </w:t>
      </w:r>
      <w:r w:rsidR="0080027C" w:rsidRPr="005E12E5">
        <w:rPr>
          <w:sz w:val="22"/>
          <w:szCs w:val="22"/>
        </w:rPr>
        <w:t>of</w:t>
      </w:r>
      <w:r w:rsidR="00C81CDF" w:rsidRPr="005E12E5">
        <w:rPr>
          <w:sz w:val="22"/>
          <w:szCs w:val="22"/>
        </w:rPr>
        <w:t xml:space="preserve"> emotion language (swearwords, invective language) </w:t>
      </w:r>
      <w:r w:rsidR="00434889" w:rsidRPr="005E12E5">
        <w:rPr>
          <w:sz w:val="22"/>
          <w:szCs w:val="22"/>
        </w:rPr>
        <w:t xml:space="preserve">in </w:t>
      </w:r>
      <w:r w:rsidR="0080027C" w:rsidRPr="005E12E5">
        <w:rPr>
          <w:sz w:val="22"/>
          <w:szCs w:val="22"/>
        </w:rPr>
        <w:t xml:space="preserve">the </w:t>
      </w:r>
      <w:r w:rsidR="00AC3201" w:rsidRPr="005E12E5">
        <w:rPr>
          <w:sz w:val="22"/>
          <w:szCs w:val="22"/>
        </w:rPr>
        <w:t xml:space="preserve">Persian </w:t>
      </w:r>
      <w:r w:rsidR="0080027C" w:rsidRPr="005E12E5">
        <w:rPr>
          <w:sz w:val="22"/>
          <w:szCs w:val="22"/>
        </w:rPr>
        <w:t xml:space="preserve">language </w:t>
      </w:r>
      <w:r w:rsidR="00C81CDF" w:rsidRPr="005E12E5">
        <w:rPr>
          <w:sz w:val="22"/>
          <w:szCs w:val="22"/>
        </w:rPr>
        <w:t xml:space="preserve">and </w:t>
      </w:r>
      <w:r w:rsidR="0080027C" w:rsidRPr="005E12E5">
        <w:rPr>
          <w:sz w:val="22"/>
          <w:szCs w:val="22"/>
        </w:rPr>
        <w:t xml:space="preserve">how the discourse is shaped by various factors (individual characteristics of the speakers, but also larger contextual variables such as the historic period and ideological conflicts). </w:t>
      </w:r>
    </w:p>
    <w:bookmarkEnd w:id="3"/>
    <w:p w14:paraId="23921746" w14:textId="77777777" w:rsidR="003B1837" w:rsidRPr="005E12E5" w:rsidRDefault="003B1837" w:rsidP="00234ABF">
      <w:pPr>
        <w:jc w:val="both"/>
        <w:rPr>
          <w:b/>
          <w:color w:val="000000" w:themeColor="text1"/>
          <w:sz w:val="22"/>
          <w:szCs w:val="22"/>
          <w:u w:val="single"/>
        </w:rPr>
      </w:pPr>
    </w:p>
    <w:p w14:paraId="62306ADA" w14:textId="16F08103" w:rsidR="00C66B50" w:rsidRPr="005E12E5" w:rsidRDefault="00C66B50" w:rsidP="00234ABF">
      <w:pPr>
        <w:jc w:val="both"/>
        <w:rPr>
          <w:b/>
          <w:color w:val="000000" w:themeColor="text1"/>
          <w:sz w:val="22"/>
          <w:szCs w:val="22"/>
          <w:u w:val="single"/>
        </w:rPr>
      </w:pPr>
      <w:r w:rsidRPr="005E12E5">
        <w:rPr>
          <w:b/>
          <w:color w:val="000000" w:themeColor="text1"/>
          <w:sz w:val="22"/>
          <w:szCs w:val="22"/>
          <w:u w:val="single"/>
        </w:rPr>
        <w:t>Brief Methodological Approach</w:t>
      </w:r>
    </w:p>
    <w:p w14:paraId="4F8453DA" w14:textId="7739B2F3" w:rsidR="001532E3" w:rsidRPr="005E12E5" w:rsidRDefault="0080027C" w:rsidP="00234ABF">
      <w:pPr>
        <w:ind w:firstLine="720"/>
        <w:jc w:val="both"/>
        <w:rPr>
          <w:sz w:val="22"/>
          <w:szCs w:val="22"/>
        </w:rPr>
      </w:pPr>
      <w:r w:rsidRPr="005E12E5">
        <w:rPr>
          <w:color w:val="000000" w:themeColor="text1"/>
          <w:sz w:val="22"/>
          <w:szCs w:val="22"/>
        </w:rPr>
        <w:t xml:space="preserve">For my postdoctoral work, I aim to explore patterns and relationships between political affiliation, social and power status, gender, religiosity, and possibly socio-economic status and the use of invective language among the political parties that were in conflict in Iran during 1900-1953. </w:t>
      </w:r>
      <w:r w:rsidR="001532E3" w:rsidRPr="005E12E5">
        <w:rPr>
          <w:color w:val="000000" w:themeColor="text1"/>
          <w:sz w:val="22"/>
          <w:szCs w:val="22"/>
        </w:rPr>
        <w:t>This will build on and extend my PhD research</w:t>
      </w:r>
      <w:r w:rsidRPr="005E12E5">
        <w:rPr>
          <w:color w:val="000000" w:themeColor="text1"/>
          <w:sz w:val="22"/>
          <w:szCs w:val="22"/>
        </w:rPr>
        <w:t xml:space="preserve"> by looking at how emotion language is shaped by the characteristics of the historic period</w:t>
      </w:r>
      <w:r w:rsidR="001532E3" w:rsidRPr="005E12E5">
        <w:rPr>
          <w:color w:val="000000" w:themeColor="text1"/>
          <w:sz w:val="22"/>
          <w:szCs w:val="22"/>
        </w:rPr>
        <w:t xml:space="preserve">, </w:t>
      </w:r>
      <w:r w:rsidRPr="005E12E5">
        <w:rPr>
          <w:color w:val="000000" w:themeColor="text1"/>
          <w:sz w:val="22"/>
          <w:szCs w:val="22"/>
        </w:rPr>
        <w:t xml:space="preserve">and not only by individual </w:t>
      </w:r>
      <w:r w:rsidR="00221637" w:rsidRPr="005E12E5">
        <w:rPr>
          <w:color w:val="000000" w:themeColor="text1"/>
          <w:sz w:val="22"/>
          <w:szCs w:val="22"/>
        </w:rPr>
        <w:t>characteristics of the speakers</w:t>
      </w:r>
      <w:r w:rsidR="00276DCF" w:rsidRPr="005E12E5">
        <w:rPr>
          <w:color w:val="000000" w:themeColor="text1"/>
          <w:sz w:val="22"/>
          <w:szCs w:val="22"/>
        </w:rPr>
        <w:t xml:space="preserve">. </w:t>
      </w:r>
      <w:r w:rsidR="00B13C46" w:rsidRPr="005E12E5">
        <w:rPr>
          <w:color w:val="000000"/>
          <w:sz w:val="22"/>
          <w:szCs w:val="22"/>
          <w:lang w:eastAsia="en-CA"/>
        </w:rPr>
        <w:t>F</w:t>
      </w:r>
      <w:r w:rsidR="00221637" w:rsidRPr="005E12E5">
        <w:rPr>
          <w:color w:val="000000"/>
          <w:sz w:val="22"/>
          <w:szCs w:val="22"/>
          <w:lang w:eastAsia="en-CA"/>
        </w:rPr>
        <w:t xml:space="preserve">or my postdoctoral work I will continue to explore the notion of </w:t>
      </w:r>
      <w:r w:rsidR="00A12D67" w:rsidRPr="005E12E5">
        <w:rPr>
          <w:sz w:val="22"/>
          <w:szCs w:val="22"/>
        </w:rPr>
        <w:t>a</w:t>
      </w:r>
      <w:r w:rsidR="009556F9" w:rsidRPr="005E12E5">
        <w:rPr>
          <w:sz w:val="22"/>
          <w:szCs w:val="22"/>
        </w:rPr>
        <w:t>cculturation</w:t>
      </w:r>
      <w:r w:rsidR="00221637" w:rsidRPr="005E12E5">
        <w:rPr>
          <w:sz w:val="22"/>
          <w:szCs w:val="22"/>
        </w:rPr>
        <w:t xml:space="preserve"> (studied during my PhD) because it</w:t>
      </w:r>
      <w:r w:rsidR="009556F9" w:rsidRPr="005E12E5">
        <w:rPr>
          <w:sz w:val="22"/>
          <w:szCs w:val="22"/>
        </w:rPr>
        <w:t xml:space="preserve"> </w:t>
      </w:r>
      <w:r w:rsidR="00102E8F" w:rsidRPr="005E12E5">
        <w:rPr>
          <w:sz w:val="22"/>
          <w:szCs w:val="22"/>
        </w:rPr>
        <w:t xml:space="preserve">can </w:t>
      </w:r>
      <w:r w:rsidR="009556F9" w:rsidRPr="005E12E5">
        <w:rPr>
          <w:sz w:val="22"/>
          <w:szCs w:val="22"/>
        </w:rPr>
        <w:t xml:space="preserve">reveal one’s ideological and political affiliation. </w:t>
      </w:r>
      <w:r w:rsidR="00221637" w:rsidRPr="005E12E5">
        <w:rPr>
          <w:sz w:val="22"/>
          <w:szCs w:val="22"/>
        </w:rPr>
        <w:t>However, a</w:t>
      </w:r>
      <w:r w:rsidR="00102E8F" w:rsidRPr="005E12E5">
        <w:rPr>
          <w:sz w:val="22"/>
          <w:szCs w:val="22"/>
        </w:rPr>
        <w:t xml:space="preserve">n intriguing line of research, unexplored to date, is to examine </w:t>
      </w:r>
      <w:r w:rsidR="00DB7611" w:rsidRPr="005E12E5">
        <w:rPr>
          <w:sz w:val="22"/>
          <w:szCs w:val="22"/>
        </w:rPr>
        <w:t xml:space="preserve">how </w:t>
      </w:r>
      <w:r w:rsidR="009556F9" w:rsidRPr="005E12E5">
        <w:rPr>
          <w:sz w:val="22"/>
          <w:szCs w:val="22"/>
        </w:rPr>
        <w:t>a specific political, ideological affiliation af</w:t>
      </w:r>
      <w:r w:rsidR="00A12D67" w:rsidRPr="005E12E5">
        <w:rPr>
          <w:sz w:val="22"/>
          <w:szCs w:val="22"/>
        </w:rPr>
        <w:t>f</w:t>
      </w:r>
      <w:r w:rsidR="009556F9" w:rsidRPr="005E12E5">
        <w:rPr>
          <w:sz w:val="22"/>
          <w:szCs w:val="22"/>
        </w:rPr>
        <w:t>ect</w:t>
      </w:r>
      <w:r w:rsidR="00102E8F" w:rsidRPr="005E12E5">
        <w:rPr>
          <w:sz w:val="22"/>
          <w:szCs w:val="22"/>
        </w:rPr>
        <w:t>s</w:t>
      </w:r>
      <w:r w:rsidR="009556F9" w:rsidRPr="005E12E5">
        <w:rPr>
          <w:sz w:val="22"/>
          <w:szCs w:val="22"/>
        </w:rPr>
        <w:t xml:space="preserve"> </w:t>
      </w:r>
      <w:r w:rsidR="00B13C46" w:rsidRPr="005E12E5">
        <w:rPr>
          <w:sz w:val="22"/>
          <w:szCs w:val="22"/>
        </w:rPr>
        <w:t xml:space="preserve">the </w:t>
      </w:r>
      <w:r w:rsidR="009556F9" w:rsidRPr="005E12E5">
        <w:rPr>
          <w:sz w:val="22"/>
          <w:szCs w:val="22"/>
        </w:rPr>
        <w:t xml:space="preserve">use of swearwords </w:t>
      </w:r>
      <w:r w:rsidR="00102E8F" w:rsidRPr="005E12E5">
        <w:rPr>
          <w:sz w:val="22"/>
          <w:szCs w:val="22"/>
        </w:rPr>
        <w:t>and invective language.</w:t>
      </w:r>
      <w:r w:rsidR="00FC79DD" w:rsidRPr="005E12E5">
        <w:rPr>
          <w:sz w:val="22"/>
          <w:szCs w:val="22"/>
        </w:rPr>
        <w:t xml:space="preserve"> </w:t>
      </w:r>
      <w:r w:rsidR="00102E8F" w:rsidRPr="005E12E5">
        <w:rPr>
          <w:sz w:val="22"/>
          <w:szCs w:val="22"/>
        </w:rPr>
        <w:t xml:space="preserve">In addition, it is not clear how </w:t>
      </w:r>
      <w:r w:rsidR="00DB7611" w:rsidRPr="005E12E5">
        <w:rPr>
          <w:sz w:val="22"/>
          <w:szCs w:val="22"/>
        </w:rPr>
        <w:t xml:space="preserve">psychological factors </w:t>
      </w:r>
      <w:r w:rsidR="00102E8F" w:rsidRPr="005E12E5">
        <w:rPr>
          <w:sz w:val="22"/>
          <w:szCs w:val="22"/>
        </w:rPr>
        <w:t xml:space="preserve">such as </w:t>
      </w:r>
      <w:r w:rsidR="00DB7611" w:rsidRPr="005E12E5">
        <w:rPr>
          <w:sz w:val="22"/>
          <w:szCs w:val="22"/>
        </w:rPr>
        <w:t>religiosity and social</w:t>
      </w:r>
      <w:r w:rsidR="00102E8F" w:rsidRPr="005E12E5">
        <w:rPr>
          <w:sz w:val="22"/>
          <w:szCs w:val="22"/>
        </w:rPr>
        <w:t>-</w:t>
      </w:r>
      <w:r w:rsidR="00DB7611" w:rsidRPr="005E12E5">
        <w:rPr>
          <w:sz w:val="22"/>
          <w:szCs w:val="22"/>
        </w:rPr>
        <w:t xml:space="preserve">cultural factors </w:t>
      </w:r>
      <w:r w:rsidR="00102E8F" w:rsidRPr="005E12E5">
        <w:rPr>
          <w:sz w:val="22"/>
          <w:szCs w:val="22"/>
        </w:rPr>
        <w:t xml:space="preserve">(e.g., </w:t>
      </w:r>
      <w:r w:rsidR="00D22996" w:rsidRPr="005E12E5">
        <w:rPr>
          <w:sz w:val="22"/>
          <w:szCs w:val="22"/>
        </w:rPr>
        <w:t>individuals’ cultural norms</w:t>
      </w:r>
      <w:r w:rsidR="00102E8F" w:rsidRPr="005E12E5">
        <w:rPr>
          <w:sz w:val="22"/>
          <w:szCs w:val="22"/>
        </w:rPr>
        <w:t xml:space="preserve">; </w:t>
      </w:r>
      <w:r w:rsidR="00DB7611" w:rsidRPr="005E12E5">
        <w:rPr>
          <w:sz w:val="22"/>
          <w:szCs w:val="22"/>
        </w:rPr>
        <w:t>gender</w:t>
      </w:r>
      <w:r w:rsidR="00D22996" w:rsidRPr="005E12E5">
        <w:rPr>
          <w:sz w:val="22"/>
          <w:szCs w:val="22"/>
        </w:rPr>
        <w:t>,</w:t>
      </w:r>
      <w:r w:rsidR="00DB7611" w:rsidRPr="005E12E5">
        <w:rPr>
          <w:sz w:val="22"/>
          <w:szCs w:val="22"/>
        </w:rPr>
        <w:t xml:space="preserve"> social class</w:t>
      </w:r>
      <w:r w:rsidR="00D22996" w:rsidRPr="005E12E5">
        <w:rPr>
          <w:sz w:val="22"/>
          <w:szCs w:val="22"/>
        </w:rPr>
        <w:t>, and power</w:t>
      </w:r>
      <w:r w:rsidR="00102E8F" w:rsidRPr="005E12E5">
        <w:rPr>
          <w:sz w:val="22"/>
          <w:szCs w:val="22"/>
        </w:rPr>
        <w:t>)</w:t>
      </w:r>
      <w:r w:rsidR="00DB7611" w:rsidRPr="005E12E5">
        <w:rPr>
          <w:sz w:val="22"/>
          <w:szCs w:val="22"/>
        </w:rPr>
        <w:t xml:space="preserve"> </w:t>
      </w:r>
      <w:r w:rsidR="00102E8F" w:rsidRPr="005E12E5">
        <w:rPr>
          <w:sz w:val="22"/>
          <w:szCs w:val="22"/>
        </w:rPr>
        <w:t>affect</w:t>
      </w:r>
      <w:r w:rsidR="00D22996" w:rsidRPr="005E12E5">
        <w:rPr>
          <w:sz w:val="22"/>
          <w:szCs w:val="22"/>
        </w:rPr>
        <w:t xml:space="preserve"> </w:t>
      </w:r>
      <w:r w:rsidR="00752877" w:rsidRPr="005E12E5">
        <w:rPr>
          <w:sz w:val="22"/>
          <w:szCs w:val="22"/>
        </w:rPr>
        <w:t>t</w:t>
      </w:r>
      <w:r w:rsidR="00004880" w:rsidRPr="005E12E5">
        <w:rPr>
          <w:sz w:val="22"/>
          <w:szCs w:val="22"/>
        </w:rPr>
        <w:t xml:space="preserve">he </w:t>
      </w:r>
      <w:r w:rsidR="00CE2E26" w:rsidRPr="005E12E5">
        <w:rPr>
          <w:sz w:val="22"/>
          <w:szCs w:val="22"/>
        </w:rPr>
        <w:t xml:space="preserve">use of </w:t>
      </w:r>
      <w:r w:rsidR="00A12D67" w:rsidRPr="005E12E5">
        <w:rPr>
          <w:sz w:val="22"/>
          <w:szCs w:val="22"/>
        </w:rPr>
        <w:t>invective and satire</w:t>
      </w:r>
      <w:r w:rsidR="00004880" w:rsidRPr="005E12E5">
        <w:rPr>
          <w:sz w:val="22"/>
          <w:szCs w:val="22"/>
        </w:rPr>
        <w:t xml:space="preserve"> language</w:t>
      </w:r>
      <w:r w:rsidR="00102E8F" w:rsidRPr="005E12E5">
        <w:rPr>
          <w:sz w:val="22"/>
          <w:szCs w:val="22"/>
        </w:rPr>
        <w:t xml:space="preserve">. </w:t>
      </w:r>
      <w:r w:rsidR="00004880" w:rsidRPr="005E12E5">
        <w:rPr>
          <w:sz w:val="22"/>
          <w:szCs w:val="22"/>
        </w:rPr>
        <w:t xml:space="preserve"> </w:t>
      </w:r>
      <w:r w:rsidR="00102E8F" w:rsidRPr="005E12E5">
        <w:rPr>
          <w:sz w:val="22"/>
          <w:szCs w:val="22"/>
        </w:rPr>
        <w:t>T</w:t>
      </w:r>
      <w:r w:rsidR="001532E3" w:rsidRPr="005E12E5">
        <w:rPr>
          <w:sz w:val="22"/>
          <w:szCs w:val="22"/>
        </w:rPr>
        <w:t xml:space="preserve">o fill these gaps, </w:t>
      </w:r>
      <w:r w:rsidR="00102E8F" w:rsidRPr="005E12E5">
        <w:rPr>
          <w:sz w:val="22"/>
          <w:szCs w:val="22"/>
        </w:rPr>
        <w:t>for my postdoctoral work, I plan to investigate the</w:t>
      </w:r>
      <w:r w:rsidR="0005685B" w:rsidRPr="005E12E5">
        <w:rPr>
          <w:sz w:val="22"/>
          <w:szCs w:val="22"/>
        </w:rPr>
        <w:t xml:space="preserve"> use </w:t>
      </w:r>
      <w:r w:rsidR="00102E8F" w:rsidRPr="005E12E5">
        <w:rPr>
          <w:sz w:val="22"/>
          <w:szCs w:val="22"/>
        </w:rPr>
        <w:t xml:space="preserve">of </w:t>
      </w:r>
      <w:r w:rsidR="001C46B3" w:rsidRPr="005E12E5">
        <w:rPr>
          <w:sz w:val="22"/>
          <w:szCs w:val="22"/>
        </w:rPr>
        <w:t>political invective language in Iranian newspaper</w:t>
      </w:r>
      <w:r w:rsidR="00102E8F" w:rsidRPr="005E12E5">
        <w:rPr>
          <w:sz w:val="22"/>
          <w:szCs w:val="22"/>
        </w:rPr>
        <w:t xml:space="preserve">s such as </w:t>
      </w:r>
      <w:r w:rsidR="001C46B3" w:rsidRPr="005E12E5">
        <w:rPr>
          <w:sz w:val="22"/>
          <w:szCs w:val="22"/>
        </w:rPr>
        <w:t>“Atash” and “</w:t>
      </w:r>
      <w:proofErr w:type="spellStart"/>
      <w:r w:rsidR="001C46B3" w:rsidRPr="005E12E5">
        <w:rPr>
          <w:sz w:val="22"/>
          <w:szCs w:val="22"/>
        </w:rPr>
        <w:t>Hamleh</w:t>
      </w:r>
      <w:proofErr w:type="spellEnd"/>
      <w:r w:rsidR="001C46B3" w:rsidRPr="005E12E5">
        <w:rPr>
          <w:sz w:val="22"/>
          <w:szCs w:val="22"/>
        </w:rPr>
        <w:t>”</w:t>
      </w:r>
      <w:r w:rsidR="0070740A" w:rsidRPr="005E12E5">
        <w:rPr>
          <w:sz w:val="22"/>
          <w:szCs w:val="22"/>
        </w:rPr>
        <w:t xml:space="preserve"> “</w:t>
      </w:r>
      <w:proofErr w:type="spellStart"/>
      <w:r w:rsidR="0070740A" w:rsidRPr="005E12E5">
        <w:rPr>
          <w:sz w:val="22"/>
          <w:szCs w:val="22"/>
        </w:rPr>
        <w:t>Mard</w:t>
      </w:r>
      <w:proofErr w:type="spellEnd"/>
      <w:r w:rsidR="0070740A" w:rsidRPr="005E12E5">
        <w:rPr>
          <w:sz w:val="22"/>
          <w:szCs w:val="22"/>
        </w:rPr>
        <w:t xml:space="preserve">-e </w:t>
      </w:r>
      <w:proofErr w:type="spellStart"/>
      <w:r w:rsidR="0070740A" w:rsidRPr="005E12E5">
        <w:rPr>
          <w:sz w:val="22"/>
          <w:szCs w:val="22"/>
        </w:rPr>
        <w:t>emruz</w:t>
      </w:r>
      <w:proofErr w:type="spellEnd"/>
      <w:r w:rsidR="0070740A" w:rsidRPr="005E12E5">
        <w:rPr>
          <w:sz w:val="22"/>
          <w:szCs w:val="22"/>
        </w:rPr>
        <w:t>”; and political satire journal</w:t>
      </w:r>
      <w:r w:rsidR="006C3F07" w:rsidRPr="005E12E5">
        <w:rPr>
          <w:sz w:val="22"/>
          <w:szCs w:val="22"/>
        </w:rPr>
        <w:t>s</w:t>
      </w:r>
      <w:r w:rsidR="0070740A" w:rsidRPr="005E12E5">
        <w:rPr>
          <w:sz w:val="22"/>
          <w:szCs w:val="22"/>
        </w:rPr>
        <w:t xml:space="preserve"> “</w:t>
      </w:r>
      <w:proofErr w:type="spellStart"/>
      <w:r w:rsidR="0070740A" w:rsidRPr="005E12E5">
        <w:rPr>
          <w:sz w:val="22"/>
          <w:szCs w:val="22"/>
        </w:rPr>
        <w:t>Towfiq</w:t>
      </w:r>
      <w:proofErr w:type="spellEnd"/>
      <w:r w:rsidR="0070740A" w:rsidRPr="005E12E5">
        <w:rPr>
          <w:sz w:val="22"/>
          <w:szCs w:val="22"/>
        </w:rPr>
        <w:t>” “Hajji Baba”, and “</w:t>
      </w:r>
      <w:proofErr w:type="spellStart"/>
      <w:r w:rsidR="0070740A" w:rsidRPr="005E12E5">
        <w:rPr>
          <w:sz w:val="22"/>
          <w:szCs w:val="22"/>
        </w:rPr>
        <w:t>Chelenger</w:t>
      </w:r>
      <w:proofErr w:type="spellEnd"/>
      <w:r w:rsidR="0070740A" w:rsidRPr="005E12E5">
        <w:rPr>
          <w:sz w:val="22"/>
          <w:szCs w:val="22"/>
        </w:rPr>
        <w:t>” belonging to the 19</w:t>
      </w:r>
      <w:r w:rsidR="00276DCF" w:rsidRPr="005E12E5">
        <w:rPr>
          <w:sz w:val="22"/>
          <w:szCs w:val="22"/>
        </w:rPr>
        <w:t>0</w:t>
      </w:r>
      <w:r w:rsidR="0070740A" w:rsidRPr="005E12E5">
        <w:rPr>
          <w:sz w:val="22"/>
          <w:szCs w:val="22"/>
        </w:rPr>
        <w:t>0-195</w:t>
      </w:r>
      <w:r w:rsidR="00276DCF" w:rsidRPr="005E12E5">
        <w:rPr>
          <w:sz w:val="22"/>
          <w:szCs w:val="22"/>
        </w:rPr>
        <w:t>3</w:t>
      </w:r>
      <w:r w:rsidR="0070740A" w:rsidRPr="005E12E5">
        <w:rPr>
          <w:sz w:val="22"/>
          <w:szCs w:val="22"/>
        </w:rPr>
        <w:t xml:space="preserve"> period.</w:t>
      </w:r>
      <w:r w:rsidR="001C46B3" w:rsidRPr="005E12E5">
        <w:rPr>
          <w:sz w:val="22"/>
          <w:szCs w:val="22"/>
        </w:rPr>
        <w:t xml:space="preserve"> </w:t>
      </w:r>
    </w:p>
    <w:p w14:paraId="58A12FF7" w14:textId="77777777" w:rsidR="003B1837" w:rsidRPr="005E12E5" w:rsidRDefault="003B1837" w:rsidP="00234ABF">
      <w:pPr>
        <w:ind w:firstLine="720"/>
        <w:jc w:val="both"/>
        <w:rPr>
          <w:sz w:val="22"/>
          <w:szCs w:val="22"/>
        </w:rPr>
      </w:pPr>
    </w:p>
    <w:p w14:paraId="298ADD42" w14:textId="3693A156" w:rsidR="00CE2E26" w:rsidRPr="005E12E5" w:rsidRDefault="001D41E8" w:rsidP="00234ABF">
      <w:pPr>
        <w:ind w:firstLine="720"/>
        <w:jc w:val="both"/>
        <w:rPr>
          <w:sz w:val="22"/>
          <w:szCs w:val="22"/>
        </w:rPr>
      </w:pPr>
      <w:r w:rsidRPr="005E12E5">
        <w:rPr>
          <w:sz w:val="22"/>
          <w:szCs w:val="22"/>
        </w:rPr>
        <w:t>I aim</w:t>
      </w:r>
      <w:r w:rsidR="0005685B" w:rsidRPr="005E12E5">
        <w:rPr>
          <w:sz w:val="22"/>
          <w:szCs w:val="22"/>
        </w:rPr>
        <w:t xml:space="preserve"> to highlight the significant role of </w:t>
      </w:r>
      <w:r w:rsidR="001532E3" w:rsidRPr="005E12E5">
        <w:rPr>
          <w:sz w:val="22"/>
          <w:szCs w:val="22"/>
        </w:rPr>
        <w:t xml:space="preserve">the language used in </w:t>
      </w:r>
      <w:r w:rsidR="0005685B" w:rsidRPr="005E12E5">
        <w:rPr>
          <w:sz w:val="22"/>
          <w:szCs w:val="22"/>
        </w:rPr>
        <w:t>newspaper</w:t>
      </w:r>
      <w:r w:rsidR="001532E3" w:rsidRPr="005E12E5">
        <w:rPr>
          <w:sz w:val="22"/>
          <w:szCs w:val="22"/>
        </w:rPr>
        <w:t>s</w:t>
      </w:r>
      <w:r w:rsidR="0005685B" w:rsidRPr="005E12E5">
        <w:rPr>
          <w:sz w:val="22"/>
          <w:szCs w:val="22"/>
        </w:rPr>
        <w:t xml:space="preserve"> and journals</w:t>
      </w:r>
      <w:r w:rsidR="001532E3" w:rsidRPr="005E12E5">
        <w:rPr>
          <w:sz w:val="22"/>
          <w:szCs w:val="22"/>
        </w:rPr>
        <w:t>, ultimately serving</w:t>
      </w:r>
      <w:r w:rsidR="0005685B" w:rsidRPr="005E12E5">
        <w:rPr>
          <w:sz w:val="22"/>
          <w:szCs w:val="22"/>
        </w:rPr>
        <w:t xml:space="preserve"> as a platform for social and political change in a country. </w:t>
      </w:r>
      <w:r w:rsidR="00A3610F" w:rsidRPr="005E12E5">
        <w:rPr>
          <w:sz w:val="22"/>
          <w:szCs w:val="22"/>
        </w:rPr>
        <w:t xml:space="preserve">I am interested in how censorship law regulates the public discourse and use of </w:t>
      </w:r>
      <w:r w:rsidR="00F93007" w:rsidRPr="005E12E5">
        <w:rPr>
          <w:sz w:val="22"/>
          <w:szCs w:val="22"/>
        </w:rPr>
        <w:t xml:space="preserve">invective </w:t>
      </w:r>
      <w:r w:rsidR="00CE2E26" w:rsidRPr="005E12E5">
        <w:rPr>
          <w:sz w:val="22"/>
          <w:szCs w:val="22"/>
        </w:rPr>
        <w:t xml:space="preserve">and satire </w:t>
      </w:r>
      <w:r w:rsidR="00A3610F" w:rsidRPr="005E12E5">
        <w:rPr>
          <w:sz w:val="22"/>
          <w:szCs w:val="22"/>
        </w:rPr>
        <w:t xml:space="preserve">language in politics. </w:t>
      </w:r>
      <w:r w:rsidR="0005685B" w:rsidRPr="005E12E5">
        <w:rPr>
          <w:sz w:val="22"/>
          <w:szCs w:val="22"/>
        </w:rPr>
        <w:t xml:space="preserve">In this </w:t>
      </w:r>
      <w:r w:rsidR="00771BD4" w:rsidRPr="005E12E5">
        <w:rPr>
          <w:sz w:val="22"/>
          <w:szCs w:val="22"/>
        </w:rPr>
        <w:t>pursuit</w:t>
      </w:r>
      <w:r w:rsidR="00911BAB" w:rsidRPr="005E12E5">
        <w:rPr>
          <w:sz w:val="22"/>
          <w:szCs w:val="22"/>
        </w:rPr>
        <w:t>,</w:t>
      </w:r>
      <w:r w:rsidR="00771BD4" w:rsidRPr="005E12E5">
        <w:rPr>
          <w:sz w:val="22"/>
          <w:szCs w:val="22"/>
        </w:rPr>
        <w:t xml:space="preserve"> for my methodology, I employ the triangulation of </w:t>
      </w:r>
      <w:r w:rsidR="00B52DA5" w:rsidRPr="005E12E5">
        <w:rPr>
          <w:sz w:val="22"/>
          <w:szCs w:val="22"/>
        </w:rPr>
        <w:t xml:space="preserve">invective </w:t>
      </w:r>
      <w:r w:rsidR="004E2F86" w:rsidRPr="005E12E5">
        <w:rPr>
          <w:sz w:val="22"/>
          <w:szCs w:val="22"/>
        </w:rPr>
        <w:t xml:space="preserve">and satire swearing usage, reading newspaper and journals texts </w:t>
      </w:r>
      <w:r w:rsidRPr="005E12E5">
        <w:rPr>
          <w:sz w:val="22"/>
          <w:szCs w:val="22"/>
        </w:rPr>
        <w:t xml:space="preserve">from </w:t>
      </w:r>
      <w:r w:rsidR="00FC79DD" w:rsidRPr="005E12E5">
        <w:rPr>
          <w:sz w:val="22"/>
          <w:szCs w:val="22"/>
        </w:rPr>
        <w:t xml:space="preserve">1900- 1953 in Iran, </w:t>
      </w:r>
      <w:r w:rsidR="004E2F86" w:rsidRPr="005E12E5">
        <w:rPr>
          <w:sz w:val="22"/>
          <w:szCs w:val="22"/>
        </w:rPr>
        <w:t>and appl</w:t>
      </w:r>
      <w:r w:rsidR="00CE2E26" w:rsidRPr="005E12E5">
        <w:rPr>
          <w:sz w:val="22"/>
          <w:szCs w:val="22"/>
        </w:rPr>
        <w:t>y</w:t>
      </w:r>
      <w:r w:rsidR="001532E3" w:rsidRPr="005E12E5">
        <w:rPr>
          <w:sz w:val="22"/>
          <w:szCs w:val="22"/>
        </w:rPr>
        <w:t>ing</w:t>
      </w:r>
      <w:r w:rsidR="004E2F86" w:rsidRPr="005E12E5">
        <w:rPr>
          <w:sz w:val="22"/>
          <w:szCs w:val="22"/>
        </w:rPr>
        <w:t xml:space="preserve"> deep </w:t>
      </w:r>
      <w:r w:rsidR="00CE2E26" w:rsidRPr="005E12E5">
        <w:rPr>
          <w:sz w:val="22"/>
          <w:szCs w:val="22"/>
        </w:rPr>
        <w:t>contextualized</w:t>
      </w:r>
      <w:r w:rsidR="004E2F86" w:rsidRPr="005E12E5">
        <w:rPr>
          <w:sz w:val="22"/>
          <w:szCs w:val="22"/>
        </w:rPr>
        <w:t>, cultural, historical, linguistic understanding of Iran’s comple</w:t>
      </w:r>
      <w:r w:rsidR="00BC6B28" w:rsidRPr="005E12E5">
        <w:rPr>
          <w:sz w:val="22"/>
          <w:szCs w:val="22"/>
        </w:rPr>
        <w:t>xity</w:t>
      </w:r>
      <w:r w:rsidR="001532E3" w:rsidRPr="005E12E5">
        <w:rPr>
          <w:sz w:val="22"/>
          <w:szCs w:val="22"/>
        </w:rPr>
        <w:t xml:space="preserve"> to ensure rigor</w:t>
      </w:r>
      <w:r w:rsidR="00A3610F" w:rsidRPr="005E12E5">
        <w:rPr>
          <w:sz w:val="22"/>
          <w:szCs w:val="22"/>
        </w:rPr>
        <w:t xml:space="preserve"> and in-depth understanding of the texts. </w:t>
      </w:r>
    </w:p>
    <w:p w14:paraId="0BD5D120" w14:textId="77777777" w:rsidR="003B1837" w:rsidRPr="005E12E5" w:rsidRDefault="003B1837" w:rsidP="00234ABF">
      <w:pPr>
        <w:ind w:firstLine="720"/>
        <w:jc w:val="both"/>
        <w:rPr>
          <w:sz w:val="22"/>
          <w:szCs w:val="22"/>
        </w:rPr>
      </w:pPr>
    </w:p>
    <w:p w14:paraId="2FBBA0B9" w14:textId="3AB9FAC3" w:rsidR="001532E3" w:rsidRPr="005E12E5" w:rsidRDefault="004B057F" w:rsidP="00234ABF">
      <w:pPr>
        <w:ind w:firstLine="720"/>
        <w:jc w:val="both"/>
        <w:rPr>
          <w:sz w:val="22"/>
          <w:szCs w:val="22"/>
        </w:rPr>
      </w:pPr>
      <w:r w:rsidRPr="005E12E5">
        <w:rPr>
          <w:sz w:val="22"/>
          <w:szCs w:val="22"/>
        </w:rPr>
        <w:t xml:space="preserve">There is a distinct </w:t>
      </w:r>
      <w:r w:rsidR="001C46B3" w:rsidRPr="005E12E5">
        <w:rPr>
          <w:sz w:val="22"/>
          <w:szCs w:val="22"/>
        </w:rPr>
        <w:t>rise in the usage of invective language which is the outcome of political crisis in Iran</w:t>
      </w:r>
      <w:r w:rsidRPr="005E12E5">
        <w:rPr>
          <w:sz w:val="22"/>
          <w:szCs w:val="22"/>
        </w:rPr>
        <w:t xml:space="preserve"> </w:t>
      </w:r>
      <w:r w:rsidR="00B13C46" w:rsidRPr="005E12E5">
        <w:rPr>
          <w:sz w:val="22"/>
          <w:szCs w:val="22"/>
        </w:rPr>
        <w:t xml:space="preserve">between </w:t>
      </w:r>
      <w:r w:rsidR="00276DCF" w:rsidRPr="005E12E5">
        <w:rPr>
          <w:sz w:val="22"/>
          <w:szCs w:val="22"/>
        </w:rPr>
        <w:t xml:space="preserve">1900-1953 </w:t>
      </w:r>
      <w:r w:rsidRPr="005E12E5">
        <w:rPr>
          <w:sz w:val="22"/>
          <w:szCs w:val="22"/>
        </w:rPr>
        <w:t xml:space="preserve">due to </w:t>
      </w:r>
      <w:r w:rsidR="00B13C46" w:rsidRPr="005E12E5">
        <w:rPr>
          <w:sz w:val="22"/>
          <w:szCs w:val="22"/>
        </w:rPr>
        <w:t xml:space="preserve">the </w:t>
      </w:r>
      <w:r w:rsidRPr="005E12E5">
        <w:rPr>
          <w:sz w:val="22"/>
          <w:szCs w:val="22"/>
        </w:rPr>
        <w:t xml:space="preserve">intensification of </w:t>
      </w:r>
      <w:r w:rsidR="001A024E" w:rsidRPr="005E12E5">
        <w:rPr>
          <w:sz w:val="22"/>
          <w:szCs w:val="22"/>
        </w:rPr>
        <w:t>ideological</w:t>
      </w:r>
      <w:r w:rsidRPr="005E12E5">
        <w:rPr>
          <w:sz w:val="22"/>
          <w:szCs w:val="22"/>
        </w:rPr>
        <w:t xml:space="preserve"> conflicts between </w:t>
      </w:r>
      <w:r w:rsidR="0040340F" w:rsidRPr="005E12E5">
        <w:rPr>
          <w:sz w:val="22"/>
          <w:szCs w:val="22"/>
        </w:rPr>
        <w:t>m</w:t>
      </w:r>
      <w:r w:rsidR="007D5333" w:rsidRPr="005E12E5">
        <w:rPr>
          <w:sz w:val="22"/>
          <w:szCs w:val="22"/>
        </w:rPr>
        <w:t xml:space="preserve">ajor parties </w:t>
      </w:r>
      <w:r w:rsidR="001532E3" w:rsidRPr="005E12E5">
        <w:rPr>
          <w:sz w:val="22"/>
          <w:szCs w:val="22"/>
        </w:rPr>
        <w:t>such as</w:t>
      </w:r>
      <w:r w:rsidR="007D5333" w:rsidRPr="005E12E5">
        <w:rPr>
          <w:sz w:val="22"/>
          <w:szCs w:val="22"/>
        </w:rPr>
        <w:t xml:space="preserve"> </w:t>
      </w:r>
      <w:r w:rsidR="003B7C50" w:rsidRPr="005E12E5">
        <w:rPr>
          <w:sz w:val="22"/>
          <w:szCs w:val="22"/>
        </w:rPr>
        <w:t xml:space="preserve">the notables, </w:t>
      </w:r>
      <w:r w:rsidR="001A024E" w:rsidRPr="005E12E5">
        <w:rPr>
          <w:sz w:val="22"/>
          <w:szCs w:val="22"/>
        </w:rPr>
        <w:lastRenderedPageBreak/>
        <w:t xml:space="preserve">the </w:t>
      </w:r>
      <w:r w:rsidR="002F19C1" w:rsidRPr="005E12E5">
        <w:rPr>
          <w:sz w:val="22"/>
          <w:szCs w:val="22"/>
        </w:rPr>
        <w:t>socialist movement (</w:t>
      </w:r>
      <w:proofErr w:type="spellStart"/>
      <w:r w:rsidR="001A024E" w:rsidRPr="005E12E5">
        <w:rPr>
          <w:sz w:val="22"/>
          <w:szCs w:val="22"/>
        </w:rPr>
        <w:t>Tudeh</w:t>
      </w:r>
      <w:proofErr w:type="spellEnd"/>
      <w:r w:rsidR="001A024E" w:rsidRPr="005E12E5">
        <w:rPr>
          <w:sz w:val="22"/>
          <w:szCs w:val="22"/>
        </w:rPr>
        <w:t xml:space="preserve"> party</w:t>
      </w:r>
      <w:r w:rsidR="002F19C1" w:rsidRPr="005E12E5">
        <w:rPr>
          <w:sz w:val="22"/>
          <w:szCs w:val="22"/>
        </w:rPr>
        <w:t>)</w:t>
      </w:r>
      <w:r w:rsidR="001A024E" w:rsidRPr="005E12E5">
        <w:rPr>
          <w:sz w:val="22"/>
          <w:szCs w:val="22"/>
        </w:rPr>
        <w:t xml:space="preserve">, </w:t>
      </w:r>
      <w:r w:rsidR="002F19C1" w:rsidRPr="005E12E5">
        <w:rPr>
          <w:sz w:val="22"/>
          <w:szCs w:val="22"/>
        </w:rPr>
        <w:t>the nationalist movement</w:t>
      </w:r>
      <w:r w:rsidR="00786297" w:rsidRPr="005E12E5">
        <w:rPr>
          <w:sz w:val="22"/>
          <w:szCs w:val="22"/>
        </w:rPr>
        <w:t xml:space="preserve"> which creates National Front</w:t>
      </w:r>
      <w:r w:rsidR="00D72E98" w:rsidRPr="005E12E5">
        <w:rPr>
          <w:sz w:val="22"/>
          <w:szCs w:val="22"/>
        </w:rPr>
        <w:t xml:space="preserve"> (</w:t>
      </w:r>
      <w:proofErr w:type="spellStart"/>
      <w:r w:rsidR="00D72E98" w:rsidRPr="005E12E5">
        <w:rPr>
          <w:sz w:val="22"/>
          <w:szCs w:val="22"/>
        </w:rPr>
        <w:t>Jebe</w:t>
      </w:r>
      <w:proofErr w:type="spellEnd"/>
      <w:r w:rsidR="00992161" w:rsidRPr="005E12E5">
        <w:rPr>
          <w:sz w:val="22"/>
          <w:szCs w:val="22"/>
        </w:rPr>
        <w:t xml:space="preserve">’ </w:t>
      </w:r>
      <w:r w:rsidR="00D72E98" w:rsidRPr="005E12E5">
        <w:rPr>
          <w:sz w:val="22"/>
          <w:szCs w:val="22"/>
        </w:rPr>
        <w:t xml:space="preserve">eh-e </w:t>
      </w:r>
      <w:proofErr w:type="spellStart"/>
      <w:r w:rsidR="00D72E98" w:rsidRPr="005E12E5">
        <w:rPr>
          <w:sz w:val="22"/>
          <w:szCs w:val="22"/>
        </w:rPr>
        <w:t>Melli</w:t>
      </w:r>
      <w:proofErr w:type="spellEnd"/>
      <w:r w:rsidR="00786297" w:rsidRPr="005E12E5">
        <w:rPr>
          <w:sz w:val="22"/>
          <w:szCs w:val="22"/>
        </w:rPr>
        <w:t>)</w:t>
      </w:r>
      <w:r w:rsidR="00C55170" w:rsidRPr="005E12E5">
        <w:rPr>
          <w:sz w:val="22"/>
          <w:szCs w:val="22"/>
        </w:rPr>
        <w:t xml:space="preserve">, </w:t>
      </w:r>
      <w:r w:rsidR="00F528EE" w:rsidRPr="005E12E5">
        <w:rPr>
          <w:sz w:val="22"/>
          <w:szCs w:val="22"/>
        </w:rPr>
        <w:t xml:space="preserve">and </w:t>
      </w:r>
      <w:proofErr w:type="spellStart"/>
      <w:r w:rsidR="00F528EE" w:rsidRPr="005E12E5">
        <w:rPr>
          <w:sz w:val="22"/>
          <w:szCs w:val="22"/>
        </w:rPr>
        <w:t>Fedayan</w:t>
      </w:r>
      <w:proofErr w:type="spellEnd"/>
      <w:r w:rsidR="00F528EE" w:rsidRPr="005E12E5">
        <w:rPr>
          <w:sz w:val="22"/>
          <w:szCs w:val="22"/>
        </w:rPr>
        <w:t>-Islam</w:t>
      </w:r>
      <w:r w:rsidR="007D5333" w:rsidRPr="005E12E5">
        <w:rPr>
          <w:sz w:val="22"/>
          <w:szCs w:val="22"/>
        </w:rPr>
        <w:t xml:space="preserve"> (self-</w:t>
      </w:r>
      <w:r w:rsidR="005F766B" w:rsidRPr="005E12E5">
        <w:rPr>
          <w:sz w:val="22"/>
          <w:szCs w:val="22"/>
        </w:rPr>
        <w:t>sacrifices</w:t>
      </w:r>
      <w:r w:rsidR="007D5333" w:rsidRPr="005E12E5">
        <w:rPr>
          <w:sz w:val="22"/>
          <w:szCs w:val="22"/>
        </w:rPr>
        <w:t xml:space="preserve"> of Islam)</w:t>
      </w:r>
      <w:r w:rsidR="005969A6" w:rsidRPr="005E12E5">
        <w:rPr>
          <w:sz w:val="22"/>
          <w:szCs w:val="22"/>
        </w:rPr>
        <w:t xml:space="preserve"> (Abrahamian</w:t>
      </w:r>
      <w:r w:rsidR="006252C4" w:rsidRPr="005E12E5">
        <w:rPr>
          <w:sz w:val="22"/>
          <w:szCs w:val="22"/>
        </w:rPr>
        <w:t xml:space="preserve">, </w:t>
      </w:r>
      <w:r w:rsidR="005969A6" w:rsidRPr="005E12E5">
        <w:rPr>
          <w:sz w:val="22"/>
          <w:szCs w:val="22"/>
        </w:rPr>
        <w:t>2008)</w:t>
      </w:r>
      <w:r w:rsidR="007D5333" w:rsidRPr="005E12E5">
        <w:rPr>
          <w:sz w:val="22"/>
          <w:szCs w:val="22"/>
        </w:rPr>
        <w:t xml:space="preserve">. </w:t>
      </w:r>
      <w:r w:rsidR="005F766B" w:rsidRPr="005E12E5">
        <w:rPr>
          <w:sz w:val="22"/>
          <w:szCs w:val="22"/>
        </w:rPr>
        <w:t xml:space="preserve">The challenges they have provided for </w:t>
      </w:r>
      <w:r w:rsidR="001532E3" w:rsidRPr="005E12E5">
        <w:rPr>
          <w:sz w:val="22"/>
          <w:szCs w:val="22"/>
        </w:rPr>
        <w:t xml:space="preserve">the </w:t>
      </w:r>
      <w:r w:rsidR="005F766B" w:rsidRPr="005E12E5">
        <w:rPr>
          <w:sz w:val="22"/>
          <w:szCs w:val="22"/>
        </w:rPr>
        <w:t xml:space="preserve">opposing parties have caused rise in employing swearwords </w:t>
      </w:r>
      <w:r w:rsidR="00705ED7" w:rsidRPr="005E12E5">
        <w:rPr>
          <w:sz w:val="22"/>
          <w:szCs w:val="22"/>
        </w:rPr>
        <w:t xml:space="preserve">that appear to violate </w:t>
      </w:r>
      <w:r w:rsidR="005F766B" w:rsidRPr="005E12E5">
        <w:rPr>
          <w:sz w:val="22"/>
          <w:szCs w:val="22"/>
        </w:rPr>
        <w:t xml:space="preserve">social norms. </w:t>
      </w:r>
      <w:r w:rsidR="00F40F5A" w:rsidRPr="005E12E5">
        <w:rPr>
          <w:sz w:val="22"/>
          <w:szCs w:val="22"/>
        </w:rPr>
        <w:t xml:space="preserve">In fact, these parties use offensive language </w:t>
      </w:r>
      <w:r w:rsidR="001532E3" w:rsidRPr="005E12E5">
        <w:rPr>
          <w:sz w:val="22"/>
          <w:szCs w:val="22"/>
        </w:rPr>
        <w:t>to express</w:t>
      </w:r>
      <w:r w:rsidR="00F40F5A" w:rsidRPr="005E12E5">
        <w:rPr>
          <w:sz w:val="22"/>
          <w:szCs w:val="22"/>
        </w:rPr>
        <w:t xml:space="preserve"> high emotional arousal and for drawing attention to their </w:t>
      </w:r>
      <w:r w:rsidR="00053CAD" w:rsidRPr="005E12E5">
        <w:rPr>
          <w:sz w:val="22"/>
          <w:szCs w:val="22"/>
        </w:rPr>
        <w:t>particular arguments</w:t>
      </w:r>
      <w:r w:rsidR="00F40F5A" w:rsidRPr="005E12E5">
        <w:rPr>
          <w:sz w:val="22"/>
          <w:szCs w:val="22"/>
        </w:rPr>
        <w:t xml:space="preserve">. </w:t>
      </w:r>
      <w:r w:rsidR="00B52DA5" w:rsidRPr="005E12E5">
        <w:rPr>
          <w:sz w:val="22"/>
          <w:szCs w:val="22"/>
        </w:rPr>
        <w:t xml:space="preserve">The use of lampoons, invective and satire language </w:t>
      </w:r>
      <w:r w:rsidR="001532E3" w:rsidRPr="005E12E5">
        <w:rPr>
          <w:sz w:val="22"/>
          <w:szCs w:val="22"/>
        </w:rPr>
        <w:t xml:space="preserve">was </w:t>
      </w:r>
      <w:r w:rsidR="00B52DA5" w:rsidRPr="005E12E5">
        <w:rPr>
          <w:sz w:val="22"/>
          <w:szCs w:val="22"/>
        </w:rPr>
        <w:t>not private</w:t>
      </w:r>
      <w:r w:rsidR="001532E3" w:rsidRPr="005E12E5">
        <w:rPr>
          <w:sz w:val="22"/>
          <w:szCs w:val="22"/>
        </w:rPr>
        <w:t xml:space="preserve">, </w:t>
      </w:r>
      <w:r w:rsidR="00B52DA5" w:rsidRPr="005E12E5">
        <w:rPr>
          <w:sz w:val="22"/>
          <w:szCs w:val="22"/>
        </w:rPr>
        <w:t>it was open to the public</w:t>
      </w:r>
      <w:r w:rsidR="00855436" w:rsidRPr="005E12E5">
        <w:rPr>
          <w:sz w:val="22"/>
          <w:szCs w:val="22"/>
        </w:rPr>
        <w:t xml:space="preserve"> and was </w:t>
      </w:r>
      <w:r w:rsidR="00FC79DD" w:rsidRPr="005E12E5">
        <w:rPr>
          <w:sz w:val="22"/>
          <w:szCs w:val="22"/>
        </w:rPr>
        <w:t xml:space="preserve">used even </w:t>
      </w:r>
      <w:r w:rsidR="00855436" w:rsidRPr="005E12E5">
        <w:rPr>
          <w:sz w:val="22"/>
          <w:szCs w:val="22"/>
        </w:rPr>
        <w:t xml:space="preserve">in public sphere </w:t>
      </w:r>
      <w:r w:rsidR="00ED4423" w:rsidRPr="005E12E5">
        <w:rPr>
          <w:sz w:val="22"/>
          <w:szCs w:val="22"/>
        </w:rPr>
        <w:t>through</w:t>
      </w:r>
      <w:r w:rsidR="00855436" w:rsidRPr="005E12E5">
        <w:rPr>
          <w:sz w:val="22"/>
          <w:szCs w:val="22"/>
        </w:rPr>
        <w:t xml:space="preserve"> newspapers</w:t>
      </w:r>
      <w:r w:rsidR="00FC79DD" w:rsidRPr="005E12E5">
        <w:rPr>
          <w:sz w:val="22"/>
          <w:szCs w:val="22"/>
        </w:rPr>
        <w:t>.</w:t>
      </w:r>
      <w:r w:rsidR="00B52DA5" w:rsidRPr="005E12E5">
        <w:rPr>
          <w:sz w:val="22"/>
          <w:szCs w:val="22"/>
        </w:rPr>
        <w:t xml:space="preserve"> </w:t>
      </w:r>
      <w:r w:rsidR="00FC79DD" w:rsidRPr="005E12E5">
        <w:rPr>
          <w:sz w:val="22"/>
          <w:szCs w:val="22"/>
        </w:rPr>
        <w:t>A</w:t>
      </w:r>
      <w:r w:rsidR="00855436" w:rsidRPr="005E12E5">
        <w:rPr>
          <w:sz w:val="22"/>
          <w:szCs w:val="22"/>
        </w:rPr>
        <w:t xml:space="preserve">s </w:t>
      </w:r>
      <w:proofErr w:type="spellStart"/>
      <w:r w:rsidR="00855436" w:rsidRPr="005E12E5">
        <w:rPr>
          <w:sz w:val="22"/>
          <w:szCs w:val="22"/>
        </w:rPr>
        <w:t>Katouzin</w:t>
      </w:r>
      <w:proofErr w:type="spellEnd"/>
      <w:r w:rsidR="00855436" w:rsidRPr="005E12E5">
        <w:rPr>
          <w:sz w:val="22"/>
          <w:szCs w:val="22"/>
        </w:rPr>
        <w:t xml:space="preserve"> (2013; 2015) has </w:t>
      </w:r>
      <w:r w:rsidR="00ED4423" w:rsidRPr="005E12E5">
        <w:rPr>
          <w:sz w:val="22"/>
          <w:szCs w:val="22"/>
        </w:rPr>
        <w:t xml:space="preserve">noted, </w:t>
      </w:r>
      <w:r w:rsidR="00855436" w:rsidRPr="005E12E5">
        <w:rPr>
          <w:sz w:val="22"/>
          <w:szCs w:val="22"/>
        </w:rPr>
        <w:t>invectives a</w:t>
      </w:r>
      <w:r w:rsidR="00E667FD" w:rsidRPr="005E12E5">
        <w:rPr>
          <w:sz w:val="22"/>
          <w:szCs w:val="22"/>
        </w:rPr>
        <w:t>n</w:t>
      </w:r>
      <w:r w:rsidR="00855436" w:rsidRPr="005E12E5">
        <w:rPr>
          <w:sz w:val="22"/>
          <w:szCs w:val="22"/>
        </w:rPr>
        <w:t>d satirical languages were used</w:t>
      </w:r>
      <w:r w:rsidR="00B52DA5" w:rsidRPr="005E12E5">
        <w:rPr>
          <w:sz w:val="22"/>
          <w:szCs w:val="22"/>
        </w:rPr>
        <w:t xml:space="preserve"> even in Constitutional Era,</w:t>
      </w:r>
      <w:r w:rsidR="001532E3" w:rsidRPr="005E12E5">
        <w:rPr>
          <w:sz w:val="22"/>
          <w:szCs w:val="22"/>
        </w:rPr>
        <w:t xml:space="preserve"> their use was </w:t>
      </w:r>
      <w:r w:rsidR="00B52DA5" w:rsidRPr="005E12E5">
        <w:rPr>
          <w:sz w:val="22"/>
          <w:szCs w:val="22"/>
        </w:rPr>
        <w:t>politically motivated</w:t>
      </w:r>
      <w:r w:rsidR="00F13697" w:rsidRPr="005E12E5">
        <w:rPr>
          <w:sz w:val="22"/>
          <w:szCs w:val="22"/>
        </w:rPr>
        <w:t>,</w:t>
      </w:r>
      <w:r w:rsidR="00B52DA5" w:rsidRPr="005E12E5">
        <w:rPr>
          <w:sz w:val="22"/>
          <w:szCs w:val="22"/>
        </w:rPr>
        <w:t xml:space="preserve"> </w:t>
      </w:r>
      <w:r w:rsidR="009442A8" w:rsidRPr="005E12E5">
        <w:rPr>
          <w:sz w:val="22"/>
          <w:szCs w:val="22"/>
        </w:rPr>
        <w:t>often scathing and libelous.</w:t>
      </w:r>
      <w:r w:rsidR="00E667FD" w:rsidRPr="005E12E5">
        <w:rPr>
          <w:sz w:val="22"/>
          <w:szCs w:val="22"/>
        </w:rPr>
        <w:t xml:space="preserve"> </w:t>
      </w:r>
      <w:r w:rsidR="000F593B" w:rsidRPr="005E12E5">
        <w:rPr>
          <w:sz w:val="22"/>
          <w:szCs w:val="22"/>
        </w:rPr>
        <w:t xml:space="preserve">In </w:t>
      </w:r>
      <w:r w:rsidR="00221637" w:rsidRPr="005E12E5">
        <w:rPr>
          <w:sz w:val="22"/>
          <w:szCs w:val="22"/>
        </w:rPr>
        <w:t>e</w:t>
      </w:r>
      <w:r w:rsidR="000F593B" w:rsidRPr="005E12E5">
        <w:rPr>
          <w:sz w:val="22"/>
          <w:szCs w:val="22"/>
        </w:rPr>
        <w:t>arly 1920s</w:t>
      </w:r>
      <w:r w:rsidR="00221637" w:rsidRPr="005E12E5">
        <w:rPr>
          <w:sz w:val="22"/>
          <w:szCs w:val="22"/>
        </w:rPr>
        <w:t>,</w:t>
      </w:r>
      <w:r w:rsidR="000F593B" w:rsidRPr="005E12E5">
        <w:rPr>
          <w:sz w:val="22"/>
          <w:szCs w:val="22"/>
        </w:rPr>
        <w:t xml:space="preserve"> explicit use of obscenity became very frequent</w:t>
      </w:r>
      <w:r w:rsidR="000B7618" w:rsidRPr="005E12E5">
        <w:rPr>
          <w:sz w:val="22"/>
          <w:szCs w:val="22"/>
        </w:rPr>
        <w:t>. There are many swearwords with prostitution, sexual activities theme,</w:t>
      </w:r>
      <w:r w:rsidR="00C66542" w:rsidRPr="005E12E5">
        <w:rPr>
          <w:sz w:val="22"/>
          <w:szCs w:val="22"/>
        </w:rPr>
        <w:t xml:space="preserve"> </w:t>
      </w:r>
      <w:r w:rsidR="00221637" w:rsidRPr="005E12E5">
        <w:rPr>
          <w:sz w:val="22"/>
          <w:szCs w:val="22"/>
        </w:rPr>
        <w:t>such as</w:t>
      </w:r>
      <w:r w:rsidR="00C66542" w:rsidRPr="005E12E5">
        <w:rPr>
          <w:sz w:val="22"/>
          <w:szCs w:val="22"/>
        </w:rPr>
        <w:t xml:space="preserve">: </w:t>
      </w:r>
      <w:r w:rsidR="000B7618" w:rsidRPr="005E12E5">
        <w:rPr>
          <w:sz w:val="22"/>
          <w:szCs w:val="22"/>
        </w:rPr>
        <w:t>“</w:t>
      </w:r>
      <w:proofErr w:type="spellStart"/>
      <w:r w:rsidR="002362EF" w:rsidRPr="005E12E5">
        <w:rPr>
          <w:rFonts w:ascii="AppleExternalUIFontArabicText-R" w:eastAsiaTheme="minorHAnsi" w:cs="AppleExternalUIFontArabicText-R" w:hint="eastAsia"/>
          <w:sz w:val="22"/>
          <w:szCs w:val="22"/>
          <w:lang w:val="en-US"/>
        </w:rPr>
        <w:t>جنده</w:t>
      </w:r>
      <w:proofErr w:type="spellEnd"/>
      <w:r w:rsidR="002362EF" w:rsidRPr="005E12E5">
        <w:rPr>
          <w:rFonts w:ascii="AppleSystemUIFont" w:eastAsiaTheme="minorHAnsi" w:hAnsi="AppleSystemUIFont" w:cs="AppleSystemUIFont"/>
          <w:sz w:val="22"/>
          <w:szCs w:val="22"/>
          <w:lang w:val="en-US"/>
        </w:rPr>
        <w:t xml:space="preserve"> </w:t>
      </w:r>
      <w:proofErr w:type="spellStart"/>
      <w:r w:rsidR="002362EF" w:rsidRPr="005E12E5">
        <w:rPr>
          <w:rFonts w:ascii="AppleExternalUIFontArabicText-R" w:eastAsiaTheme="minorHAnsi" w:hAnsi="AppleSystemUIFont" w:cs="AppleExternalUIFontArabicText-R" w:hint="eastAsia"/>
          <w:sz w:val="22"/>
          <w:szCs w:val="22"/>
          <w:lang w:val="en-US"/>
        </w:rPr>
        <w:t>باز</w:t>
      </w:r>
      <w:proofErr w:type="spellEnd"/>
      <w:r w:rsidR="000B7618" w:rsidRPr="005E12E5">
        <w:rPr>
          <w:sz w:val="22"/>
          <w:szCs w:val="22"/>
        </w:rPr>
        <w:t>” (whore-mongers)” (</w:t>
      </w:r>
      <w:proofErr w:type="spellStart"/>
      <w:r w:rsidR="000B7618" w:rsidRPr="005E12E5">
        <w:rPr>
          <w:sz w:val="22"/>
          <w:szCs w:val="22"/>
        </w:rPr>
        <w:t>Katouzian</w:t>
      </w:r>
      <w:proofErr w:type="spellEnd"/>
      <w:r w:rsidR="000B7618" w:rsidRPr="005E12E5">
        <w:rPr>
          <w:sz w:val="22"/>
          <w:szCs w:val="22"/>
        </w:rPr>
        <w:t>, 2015, p. 164)</w:t>
      </w:r>
      <w:r w:rsidR="00221637" w:rsidRPr="005E12E5">
        <w:rPr>
          <w:sz w:val="22"/>
          <w:szCs w:val="22"/>
        </w:rPr>
        <w:t>; o</w:t>
      </w:r>
      <w:r w:rsidR="000B7618" w:rsidRPr="005E12E5">
        <w:rPr>
          <w:sz w:val="22"/>
          <w:szCs w:val="22"/>
        </w:rPr>
        <w:t xml:space="preserve">r </w:t>
      </w:r>
      <w:r w:rsidR="00C66542" w:rsidRPr="005E12E5">
        <w:rPr>
          <w:sz w:val="22"/>
          <w:szCs w:val="22"/>
        </w:rPr>
        <w:t xml:space="preserve">scatological theme </w:t>
      </w:r>
      <w:r w:rsidR="00221637" w:rsidRPr="005E12E5">
        <w:rPr>
          <w:sz w:val="22"/>
          <w:szCs w:val="22"/>
        </w:rPr>
        <w:t>such as</w:t>
      </w:r>
      <w:r w:rsidR="00C66542" w:rsidRPr="005E12E5">
        <w:rPr>
          <w:sz w:val="22"/>
          <w:szCs w:val="22"/>
        </w:rPr>
        <w:t>: “</w:t>
      </w:r>
      <w:proofErr w:type="spellStart"/>
      <w:r w:rsidR="002362EF" w:rsidRPr="005E12E5">
        <w:rPr>
          <w:rFonts w:ascii="AppleExternalUIFontArabicText-R" w:eastAsiaTheme="minorHAnsi" w:cs="AppleExternalUIFontArabicText-R" w:hint="eastAsia"/>
          <w:sz w:val="22"/>
          <w:szCs w:val="22"/>
          <w:lang w:val="en-US"/>
        </w:rPr>
        <w:t>گوز</w:t>
      </w:r>
      <w:proofErr w:type="spellEnd"/>
      <w:r w:rsidR="002362EF" w:rsidRPr="005E12E5">
        <w:rPr>
          <w:rFonts w:ascii="AppleSystemUIFont" w:eastAsiaTheme="minorHAnsi" w:hAnsi="AppleSystemUIFont" w:cs="AppleSystemUIFont"/>
          <w:sz w:val="22"/>
          <w:szCs w:val="22"/>
          <w:lang w:val="en-US"/>
        </w:rPr>
        <w:t xml:space="preserve"> </w:t>
      </w:r>
      <w:proofErr w:type="spellStart"/>
      <w:r w:rsidR="002362EF" w:rsidRPr="005E12E5">
        <w:rPr>
          <w:rFonts w:ascii="AppleExternalUIFontArabicText-R" w:eastAsiaTheme="minorHAnsi" w:hAnsi="AppleSystemUIFont" w:cs="AppleExternalUIFontArabicText-R" w:hint="eastAsia"/>
          <w:sz w:val="22"/>
          <w:szCs w:val="22"/>
          <w:lang w:val="en-US"/>
        </w:rPr>
        <w:t>ميزنند</w:t>
      </w:r>
      <w:proofErr w:type="spellEnd"/>
      <w:r w:rsidR="00C66542" w:rsidRPr="005E12E5">
        <w:rPr>
          <w:sz w:val="22"/>
          <w:szCs w:val="22"/>
        </w:rPr>
        <w:t>” (fart out); (</w:t>
      </w:r>
      <w:proofErr w:type="spellStart"/>
      <w:r w:rsidR="00C66542" w:rsidRPr="005E12E5">
        <w:rPr>
          <w:sz w:val="22"/>
          <w:szCs w:val="22"/>
        </w:rPr>
        <w:t>Katouzian</w:t>
      </w:r>
      <w:proofErr w:type="spellEnd"/>
      <w:r w:rsidR="00C66542" w:rsidRPr="005E12E5">
        <w:rPr>
          <w:sz w:val="22"/>
          <w:szCs w:val="22"/>
        </w:rPr>
        <w:t xml:space="preserve">, 2015, p. </w:t>
      </w:r>
      <w:r w:rsidR="00492AAE" w:rsidRPr="005E12E5">
        <w:rPr>
          <w:sz w:val="22"/>
          <w:szCs w:val="22"/>
        </w:rPr>
        <w:t>168</w:t>
      </w:r>
      <w:r w:rsidR="00C66542" w:rsidRPr="005E12E5">
        <w:rPr>
          <w:sz w:val="22"/>
          <w:szCs w:val="22"/>
        </w:rPr>
        <w:t>)</w:t>
      </w:r>
      <w:r w:rsidR="00492AAE" w:rsidRPr="005E12E5">
        <w:rPr>
          <w:sz w:val="22"/>
          <w:szCs w:val="22"/>
        </w:rPr>
        <w:t xml:space="preserve">; </w:t>
      </w:r>
      <w:r w:rsidR="00C66542" w:rsidRPr="005E12E5">
        <w:rPr>
          <w:sz w:val="22"/>
          <w:szCs w:val="22"/>
        </w:rPr>
        <w:t>“</w:t>
      </w:r>
      <w:proofErr w:type="spellStart"/>
      <w:r w:rsidR="002362EF" w:rsidRPr="005E12E5">
        <w:rPr>
          <w:rFonts w:ascii="AppleExternalUIFontArabicText-R" w:eastAsiaTheme="minorHAnsi" w:cs="AppleExternalUIFontArabicText-R" w:hint="eastAsia"/>
          <w:sz w:val="22"/>
          <w:szCs w:val="22"/>
          <w:lang w:val="en-US"/>
        </w:rPr>
        <w:t>ريدي</w:t>
      </w:r>
      <w:proofErr w:type="spellEnd"/>
      <w:r w:rsidR="00C66542" w:rsidRPr="005E12E5">
        <w:rPr>
          <w:sz w:val="22"/>
          <w:szCs w:val="22"/>
        </w:rPr>
        <w:t>” (shat on) (</w:t>
      </w:r>
      <w:proofErr w:type="spellStart"/>
      <w:r w:rsidR="00C66542" w:rsidRPr="005E12E5">
        <w:rPr>
          <w:sz w:val="22"/>
          <w:szCs w:val="22"/>
        </w:rPr>
        <w:t>Katouzian</w:t>
      </w:r>
      <w:proofErr w:type="spellEnd"/>
      <w:r w:rsidR="00C66542" w:rsidRPr="005E12E5">
        <w:rPr>
          <w:sz w:val="22"/>
          <w:szCs w:val="22"/>
        </w:rPr>
        <w:t>, 2015, p.</w:t>
      </w:r>
      <w:r w:rsidR="00492AAE" w:rsidRPr="005E12E5">
        <w:rPr>
          <w:sz w:val="22"/>
          <w:szCs w:val="22"/>
        </w:rPr>
        <w:t>169)</w:t>
      </w:r>
      <w:r w:rsidR="00C66542" w:rsidRPr="005E12E5">
        <w:rPr>
          <w:sz w:val="22"/>
          <w:szCs w:val="22"/>
        </w:rPr>
        <w:t xml:space="preserve">. </w:t>
      </w:r>
      <w:r w:rsidR="00787569" w:rsidRPr="005E12E5">
        <w:rPr>
          <w:sz w:val="22"/>
          <w:szCs w:val="22"/>
        </w:rPr>
        <w:t xml:space="preserve">From 1940s to </w:t>
      </w:r>
      <w:r w:rsidR="00221637" w:rsidRPr="005E12E5">
        <w:rPr>
          <w:sz w:val="22"/>
          <w:szCs w:val="22"/>
        </w:rPr>
        <w:t xml:space="preserve">the </w:t>
      </w:r>
      <w:r w:rsidR="00614CE7" w:rsidRPr="005E12E5">
        <w:rPr>
          <w:sz w:val="22"/>
          <w:szCs w:val="22"/>
        </w:rPr>
        <w:t xml:space="preserve">coup in </w:t>
      </w:r>
      <w:r w:rsidR="00787569" w:rsidRPr="005E12E5">
        <w:rPr>
          <w:sz w:val="22"/>
          <w:szCs w:val="22"/>
        </w:rPr>
        <w:t xml:space="preserve">1953 satirical weeklies like </w:t>
      </w:r>
      <w:proofErr w:type="spellStart"/>
      <w:r w:rsidR="00787569" w:rsidRPr="005E12E5">
        <w:rPr>
          <w:i/>
          <w:iCs/>
          <w:sz w:val="22"/>
          <w:szCs w:val="22"/>
        </w:rPr>
        <w:t>Chelengar</w:t>
      </w:r>
      <w:proofErr w:type="spellEnd"/>
      <w:r w:rsidR="00787569" w:rsidRPr="005E12E5">
        <w:rPr>
          <w:sz w:val="22"/>
          <w:szCs w:val="22"/>
        </w:rPr>
        <w:t xml:space="preserve"> </w:t>
      </w:r>
      <w:r w:rsidR="00614CE7" w:rsidRPr="005E12E5">
        <w:rPr>
          <w:sz w:val="22"/>
          <w:szCs w:val="22"/>
        </w:rPr>
        <w:t xml:space="preserve">used </w:t>
      </w:r>
      <w:r w:rsidR="00787569" w:rsidRPr="005E12E5">
        <w:rPr>
          <w:sz w:val="22"/>
          <w:szCs w:val="22"/>
        </w:rPr>
        <w:t xml:space="preserve">satirized and scandalized </w:t>
      </w:r>
      <w:r w:rsidR="00614CE7" w:rsidRPr="005E12E5">
        <w:rPr>
          <w:sz w:val="22"/>
          <w:szCs w:val="22"/>
        </w:rPr>
        <w:t xml:space="preserve">language to </w:t>
      </w:r>
      <w:r w:rsidR="00787569" w:rsidRPr="005E12E5">
        <w:rPr>
          <w:sz w:val="22"/>
          <w:szCs w:val="22"/>
        </w:rPr>
        <w:t>opponents of</w:t>
      </w:r>
      <w:r w:rsidR="00C77204" w:rsidRPr="005E12E5">
        <w:rPr>
          <w:sz w:val="22"/>
          <w:szCs w:val="22"/>
        </w:rPr>
        <w:t xml:space="preserve"> </w:t>
      </w:r>
      <w:proofErr w:type="spellStart"/>
      <w:r w:rsidR="00787569" w:rsidRPr="005E12E5">
        <w:rPr>
          <w:sz w:val="22"/>
          <w:szCs w:val="22"/>
        </w:rPr>
        <w:t>Tude</w:t>
      </w:r>
      <w:r w:rsidR="0074288F" w:rsidRPr="005E12E5">
        <w:rPr>
          <w:sz w:val="22"/>
          <w:szCs w:val="22"/>
        </w:rPr>
        <w:t>h</w:t>
      </w:r>
      <w:proofErr w:type="spellEnd"/>
      <w:r w:rsidR="00787569" w:rsidRPr="005E12E5">
        <w:rPr>
          <w:sz w:val="22"/>
          <w:szCs w:val="22"/>
        </w:rPr>
        <w:t xml:space="preserve"> par</w:t>
      </w:r>
      <w:r w:rsidR="00317929" w:rsidRPr="005E12E5">
        <w:rPr>
          <w:sz w:val="22"/>
          <w:szCs w:val="22"/>
        </w:rPr>
        <w:t>t</w:t>
      </w:r>
      <w:r w:rsidR="00787569" w:rsidRPr="005E12E5">
        <w:rPr>
          <w:sz w:val="22"/>
          <w:szCs w:val="22"/>
        </w:rPr>
        <w:t xml:space="preserve">y. </w:t>
      </w:r>
      <w:r w:rsidR="00B43E1B" w:rsidRPr="005E12E5">
        <w:rPr>
          <w:sz w:val="22"/>
          <w:szCs w:val="22"/>
        </w:rPr>
        <w:t xml:space="preserve">Similarly, </w:t>
      </w:r>
      <w:proofErr w:type="spellStart"/>
      <w:r w:rsidR="00787569" w:rsidRPr="005E12E5">
        <w:rPr>
          <w:i/>
          <w:iCs/>
          <w:sz w:val="22"/>
          <w:szCs w:val="22"/>
        </w:rPr>
        <w:t>B</w:t>
      </w:r>
      <w:r w:rsidR="00317929" w:rsidRPr="005E12E5">
        <w:rPr>
          <w:i/>
          <w:iCs/>
          <w:sz w:val="22"/>
          <w:szCs w:val="22"/>
        </w:rPr>
        <w:t>âbâ</w:t>
      </w:r>
      <w:proofErr w:type="spellEnd"/>
      <w:r w:rsidR="00317929" w:rsidRPr="005E12E5">
        <w:rPr>
          <w:i/>
          <w:iCs/>
          <w:sz w:val="22"/>
          <w:szCs w:val="22"/>
        </w:rPr>
        <w:t xml:space="preserve"> </w:t>
      </w:r>
      <w:r w:rsidR="00787569" w:rsidRPr="005E12E5">
        <w:rPr>
          <w:i/>
          <w:iCs/>
          <w:sz w:val="22"/>
          <w:szCs w:val="22"/>
        </w:rPr>
        <w:t>Shamal</w:t>
      </w:r>
      <w:r w:rsidR="00C77204" w:rsidRPr="005E12E5">
        <w:rPr>
          <w:sz w:val="22"/>
          <w:szCs w:val="22"/>
        </w:rPr>
        <w:t xml:space="preserve"> was nationalist</w:t>
      </w:r>
      <w:r w:rsidR="00317929" w:rsidRPr="005E12E5">
        <w:rPr>
          <w:sz w:val="22"/>
          <w:szCs w:val="22"/>
        </w:rPr>
        <w:t xml:space="preserve">, </w:t>
      </w:r>
      <w:proofErr w:type="spellStart"/>
      <w:r w:rsidR="00317929" w:rsidRPr="005E12E5">
        <w:rPr>
          <w:i/>
          <w:iCs/>
          <w:sz w:val="22"/>
          <w:szCs w:val="22"/>
        </w:rPr>
        <w:t>Tawfig</w:t>
      </w:r>
      <w:proofErr w:type="spellEnd"/>
      <w:r w:rsidR="00317929" w:rsidRPr="005E12E5">
        <w:rPr>
          <w:sz w:val="22"/>
          <w:szCs w:val="22"/>
        </w:rPr>
        <w:t xml:space="preserve">, and </w:t>
      </w:r>
      <w:r w:rsidR="00317929" w:rsidRPr="005E12E5">
        <w:rPr>
          <w:i/>
          <w:iCs/>
          <w:sz w:val="22"/>
          <w:szCs w:val="22"/>
        </w:rPr>
        <w:t xml:space="preserve">Hajji </w:t>
      </w:r>
      <w:proofErr w:type="spellStart"/>
      <w:r w:rsidR="00317929" w:rsidRPr="005E12E5">
        <w:rPr>
          <w:i/>
          <w:iCs/>
          <w:sz w:val="22"/>
          <w:szCs w:val="22"/>
        </w:rPr>
        <w:t>Bâbâ</w:t>
      </w:r>
      <w:proofErr w:type="spellEnd"/>
      <w:r w:rsidR="00317929" w:rsidRPr="005E12E5">
        <w:rPr>
          <w:sz w:val="22"/>
          <w:szCs w:val="22"/>
        </w:rPr>
        <w:t xml:space="preserve"> </w:t>
      </w:r>
      <w:r w:rsidR="00C77204" w:rsidRPr="005E12E5">
        <w:rPr>
          <w:sz w:val="22"/>
          <w:szCs w:val="22"/>
        </w:rPr>
        <w:t xml:space="preserve">were pro- Mosaddeq satirical </w:t>
      </w:r>
      <w:r w:rsidR="00045495" w:rsidRPr="005E12E5">
        <w:rPr>
          <w:sz w:val="22"/>
          <w:szCs w:val="22"/>
        </w:rPr>
        <w:t>weeklies</w:t>
      </w:r>
      <w:r w:rsidR="00317929" w:rsidRPr="005E12E5">
        <w:rPr>
          <w:sz w:val="22"/>
          <w:szCs w:val="22"/>
        </w:rPr>
        <w:t xml:space="preserve"> </w:t>
      </w:r>
      <w:r w:rsidR="00C77204" w:rsidRPr="005E12E5">
        <w:rPr>
          <w:sz w:val="22"/>
          <w:szCs w:val="22"/>
        </w:rPr>
        <w:t xml:space="preserve">and </w:t>
      </w:r>
      <w:r w:rsidR="00317929" w:rsidRPr="005E12E5">
        <w:rPr>
          <w:sz w:val="22"/>
          <w:szCs w:val="22"/>
        </w:rPr>
        <w:t xml:space="preserve">were </w:t>
      </w:r>
      <w:r w:rsidR="00614CE7" w:rsidRPr="005E12E5">
        <w:rPr>
          <w:sz w:val="22"/>
          <w:szCs w:val="22"/>
        </w:rPr>
        <w:t xml:space="preserve">also </w:t>
      </w:r>
      <w:r w:rsidR="00317929" w:rsidRPr="005E12E5">
        <w:rPr>
          <w:sz w:val="22"/>
          <w:szCs w:val="22"/>
        </w:rPr>
        <w:t>scathing towards their opponents</w:t>
      </w:r>
      <w:r w:rsidR="00C77204" w:rsidRPr="005E12E5">
        <w:rPr>
          <w:sz w:val="22"/>
          <w:szCs w:val="22"/>
        </w:rPr>
        <w:t>.</w:t>
      </w:r>
      <w:r w:rsidR="00492AAE" w:rsidRPr="005E12E5">
        <w:rPr>
          <w:sz w:val="22"/>
          <w:szCs w:val="22"/>
        </w:rPr>
        <w:t xml:space="preserve"> </w:t>
      </w:r>
      <w:r w:rsidR="00ED4423" w:rsidRPr="005E12E5">
        <w:rPr>
          <w:sz w:val="22"/>
          <w:szCs w:val="22"/>
        </w:rPr>
        <w:t>My work to date showed that political discussions between the parties became increasingly more offensive closer to the coup. Interestingly, while offensive arguments between the opposing parties are increasingly common, there is no such increase in non-political headlines and news which signifies the importance of the use of swearwords at the time of profound emotional arousal.</w:t>
      </w:r>
    </w:p>
    <w:p w14:paraId="20A19A08" w14:textId="77777777" w:rsidR="003B1837" w:rsidRPr="005E12E5" w:rsidRDefault="003B1837" w:rsidP="00234ABF">
      <w:pPr>
        <w:ind w:firstLine="720"/>
        <w:jc w:val="both"/>
        <w:rPr>
          <w:color w:val="000000"/>
          <w:sz w:val="22"/>
          <w:szCs w:val="22"/>
        </w:rPr>
      </w:pPr>
    </w:p>
    <w:p w14:paraId="59ECECAF" w14:textId="24C47AA4" w:rsidR="0002400E" w:rsidRPr="005E12E5" w:rsidRDefault="0002400E" w:rsidP="00234ABF">
      <w:pPr>
        <w:ind w:firstLine="720"/>
        <w:jc w:val="both"/>
        <w:rPr>
          <w:color w:val="000000"/>
          <w:sz w:val="22"/>
          <w:szCs w:val="22"/>
        </w:rPr>
      </w:pPr>
      <w:r w:rsidRPr="005E12E5">
        <w:rPr>
          <w:color w:val="000000"/>
          <w:sz w:val="22"/>
          <w:szCs w:val="22"/>
        </w:rPr>
        <w:t xml:space="preserve">It is important to keep in mind that </w:t>
      </w:r>
      <w:r w:rsidRPr="005E12E5">
        <w:rPr>
          <w:sz w:val="22"/>
          <w:szCs w:val="22"/>
        </w:rPr>
        <w:t xml:space="preserve">political invectives appear to be at rise among elites and those who are literate since the data is taken from the newspapers. Thus, it is less clear whether this is equally true among the general public. </w:t>
      </w:r>
      <w:r w:rsidRPr="005E12E5">
        <w:rPr>
          <w:color w:val="000000"/>
          <w:sz w:val="22"/>
          <w:szCs w:val="22"/>
        </w:rPr>
        <w:t xml:space="preserve">I plan to explore several contextual influences such as whether the use of invective language is the response to the dynamics of the political crisis and if it continues among the parties in conflict after the coup; whether there is a more general trend toward offensive language; and whether each political party uses specific swearwords that distinguish it from the opposing party.  </w:t>
      </w:r>
      <w:r w:rsidR="001D41E8" w:rsidRPr="005E12E5">
        <w:rPr>
          <w:bCs/>
          <w:color w:val="000000" w:themeColor="text1"/>
          <w:sz w:val="22"/>
          <w:szCs w:val="22"/>
        </w:rPr>
        <w:t xml:space="preserve">I intend to show the entire process of how this new discourse of moving from extremely obscene language to traitorous language becomes consolidated; to identify crucial conflictual times such as the height of 1941 and examine the use of vindictive political language during these times and the evolution of various elements of the discourse formation of swearing and othering; to explain how the political rhetoric is shaped by various contextual factors and provide exemplary pieces of writings (i.e., three different pieces, one from leftist, nationalist and another one from </w:t>
      </w:r>
      <w:proofErr w:type="spellStart"/>
      <w:r w:rsidR="001D41E8" w:rsidRPr="005E12E5">
        <w:rPr>
          <w:bCs/>
          <w:color w:val="000000" w:themeColor="text1"/>
          <w:sz w:val="22"/>
          <w:szCs w:val="22"/>
        </w:rPr>
        <w:t>Kashani</w:t>
      </w:r>
      <w:proofErr w:type="spellEnd"/>
      <w:r w:rsidR="001D41E8" w:rsidRPr="005E12E5">
        <w:rPr>
          <w:bCs/>
          <w:color w:val="000000" w:themeColor="text1"/>
          <w:sz w:val="22"/>
          <w:szCs w:val="22"/>
        </w:rPr>
        <w:t>, a more Islamic group); and, finally, to conduct comparative analyses, examine differences and similarities, and deeply describe and explain change over time and how different political circumstances shape emotion expression in Persian political language.</w:t>
      </w:r>
    </w:p>
    <w:p w14:paraId="53BA6F72" w14:textId="77777777" w:rsidR="003B1837" w:rsidRPr="005E12E5" w:rsidRDefault="003B1837" w:rsidP="00234ABF">
      <w:pPr>
        <w:jc w:val="both"/>
        <w:rPr>
          <w:b/>
          <w:sz w:val="22"/>
          <w:szCs w:val="22"/>
          <w:u w:val="single"/>
        </w:rPr>
      </w:pPr>
    </w:p>
    <w:p w14:paraId="744BA62E" w14:textId="729EDE13" w:rsidR="00C66B50" w:rsidRPr="005E12E5" w:rsidRDefault="008C75EF" w:rsidP="00234ABF">
      <w:pPr>
        <w:jc w:val="both"/>
        <w:rPr>
          <w:sz w:val="22"/>
          <w:szCs w:val="22"/>
        </w:rPr>
      </w:pPr>
      <w:r w:rsidRPr="005E12E5">
        <w:rPr>
          <w:b/>
          <w:sz w:val="22"/>
          <w:szCs w:val="22"/>
          <w:u w:val="single"/>
        </w:rPr>
        <w:t>Anticipated Impact</w:t>
      </w:r>
      <w:r w:rsidR="00C81CDF" w:rsidRPr="005E12E5">
        <w:rPr>
          <w:b/>
          <w:sz w:val="22"/>
          <w:szCs w:val="22"/>
          <w:u w:val="single"/>
        </w:rPr>
        <w:t xml:space="preserve"> and Novelty of the Work</w:t>
      </w:r>
      <w:r w:rsidRPr="005E12E5">
        <w:rPr>
          <w:sz w:val="22"/>
          <w:szCs w:val="22"/>
        </w:rPr>
        <w:t xml:space="preserve"> </w:t>
      </w:r>
    </w:p>
    <w:p w14:paraId="36BCDA8C" w14:textId="337AD368" w:rsidR="008C75EF" w:rsidRPr="005E12E5" w:rsidRDefault="00033B11" w:rsidP="00234ABF">
      <w:pPr>
        <w:ind w:firstLine="720"/>
        <w:jc w:val="both"/>
        <w:rPr>
          <w:color w:val="000000"/>
          <w:sz w:val="22"/>
          <w:szCs w:val="22"/>
        </w:rPr>
      </w:pPr>
      <w:r w:rsidRPr="005E12E5">
        <w:rPr>
          <w:sz w:val="22"/>
          <w:szCs w:val="22"/>
        </w:rPr>
        <w:t xml:space="preserve">Although, this research </w:t>
      </w:r>
      <w:r w:rsidR="008C75EF" w:rsidRPr="005E12E5">
        <w:rPr>
          <w:sz w:val="22"/>
          <w:szCs w:val="22"/>
        </w:rPr>
        <w:t>focuses on a few selected</w:t>
      </w:r>
      <w:r w:rsidRPr="005E12E5">
        <w:rPr>
          <w:sz w:val="22"/>
          <w:szCs w:val="22"/>
        </w:rPr>
        <w:t xml:space="preserve"> </w:t>
      </w:r>
      <w:r w:rsidR="00871F0D" w:rsidRPr="005E12E5">
        <w:rPr>
          <w:sz w:val="22"/>
          <w:szCs w:val="22"/>
        </w:rPr>
        <w:t>newspapers,</w:t>
      </w:r>
      <w:r w:rsidRPr="005E12E5">
        <w:rPr>
          <w:sz w:val="22"/>
          <w:szCs w:val="22"/>
        </w:rPr>
        <w:t xml:space="preserve"> </w:t>
      </w:r>
      <w:r w:rsidR="000E54FB" w:rsidRPr="005E12E5">
        <w:rPr>
          <w:sz w:val="22"/>
          <w:szCs w:val="22"/>
        </w:rPr>
        <w:t xml:space="preserve">my findings will provide a unique </w:t>
      </w:r>
      <w:r w:rsidR="00E25B35" w:rsidRPr="005E12E5">
        <w:rPr>
          <w:sz w:val="22"/>
          <w:szCs w:val="22"/>
        </w:rPr>
        <w:t>mapping of the</w:t>
      </w:r>
      <w:r w:rsidR="001F2F9F" w:rsidRPr="005E12E5">
        <w:rPr>
          <w:sz w:val="22"/>
          <w:szCs w:val="22"/>
        </w:rPr>
        <w:t xml:space="preserve"> evolution</w:t>
      </w:r>
      <w:r w:rsidR="00E25B35" w:rsidRPr="005E12E5">
        <w:rPr>
          <w:sz w:val="22"/>
          <w:szCs w:val="22"/>
        </w:rPr>
        <w:t xml:space="preserve"> of invective </w:t>
      </w:r>
      <w:r w:rsidR="00B52DA5" w:rsidRPr="005E12E5">
        <w:rPr>
          <w:sz w:val="22"/>
          <w:szCs w:val="22"/>
        </w:rPr>
        <w:t xml:space="preserve">and satire </w:t>
      </w:r>
      <w:r w:rsidR="00E25B35" w:rsidRPr="005E12E5">
        <w:rPr>
          <w:sz w:val="22"/>
          <w:szCs w:val="22"/>
        </w:rPr>
        <w:t>language during 19</w:t>
      </w:r>
      <w:r w:rsidR="003D1E66" w:rsidRPr="005E12E5">
        <w:rPr>
          <w:sz w:val="22"/>
          <w:szCs w:val="22"/>
        </w:rPr>
        <w:t>0</w:t>
      </w:r>
      <w:r w:rsidR="00E25B35" w:rsidRPr="005E12E5">
        <w:rPr>
          <w:sz w:val="22"/>
          <w:szCs w:val="22"/>
        </w:rPr>
        <w:t>0-195</w:t>
      </w:r>
      <w:r w:rsidR="003D1E66" w:rsidRPr="005E12E5">
        <w:rPr>
          <w:sz w:val="22"/>
          <w:szCs w:val="22"/>
        </w:rPr>
        <w:t>3</w:t>
      </w:r>
      <w:r w:rsidR="00E25B35" w:rsidRPr="005E12E5">
        <w:rPr>
          <w:sz w:val="22"/>
          <w:szCs w:val="22"/>
        </w:rPr>
        <w:t xml:space="preserve"> in Iran. </w:t>
      </w:r>
      <w:r w:rsidR="008C75EF" w:rsidRPr="005E12E5">
        <w:rPr>
          <w:sz w:val="22"/>
          <w:szCs w:val="22"/>
        </w:rPr>
        <w:t>This will fill a significant gap in the literature with respect to the use of</w:t>
      </w:r>
      <w:r w:rsidR="000910F0" w:rsidRPr="005E12E5">
        <w:rPr>
          <w:sz w:val="22"/>
          <w:szCs w:val="22"/>
        </w:rPr>
        <w:t xml:space="preserve"> </w:t>
      </w:r>
      <w:r w:rsidR="008E79A0" w:rsidRPr="005E12E5">
        <w:rPr>
          <w:sz w:val="22"/>
          <w:szCs w:val="22"/>
        </w:rPr>
        <w:t xml:space="preserve">invective language </w:t>
      </w:r>
      <w:r w:rsidR="008C75EF" w:rsidRPr="005E12E5">
        <w:rPr>
          <w:sz w:val="22"/>
          <w:szCs w:val="22"/>
        </w:rPr>
        <w:t>in</w:t>
      </w:r>
      <w:r w:rsidR="008E79A0" w:rsidRPr="005E12E5">
        <w:rPr>
          <w:sz w:val="22"/>
          <w:szCs w:val="22"/>
        </w:rPr>
        <w:t xml:space="preserve"> Persian studies. </w:t>
      </w:r>
      <w:r w:rsidR="008C75EF" w:rsidRPr="005E12E5">
        <w:rPr>
          <w:sz w:val="22"/>
          <w:szCs w:val="22"/>
        </w:rPr>
        <w:t xml:space="preserve">I believe that this work will provide a unique contribution to the current literature by exploring the dynamic between </w:t>
      </w:r>
      <w:r w:rsidR="00871F0D" w:rsidRPr="005E12E5">
        <w:rPr>
          <w:sz w:val="22"/>
          <w:szCs w:val="22"/>
        </w:rPr>
        <w:t>high ideological conflict and emotional arousal</w:t>
      </w:r>
      <w:r w:rsidR="008C75EF" w:rsidRPr="005E12E5">
        <w:rPr>
          <w:sz w:val="22"/>
          <w:szCs w:val="22"/>
        </w:rPr>
        <w:t xml:space="preserve"> and how this affects </w:t>
      </w:r>
      <w:r w:rsidR="0002400E" w:rsidRPr="005E12E5">
        <w:rPr>
          <w:sz w:val="22"/>
          <w:szCs w:val="22"/>
        </w:rPr>
        <w:t>the political rhetoric</w:t>
      </w:r>
      <w:r w:rsidR="008C75EF" w:rsidRPr="005E12E5">
        <w:rPr>
          <w:sz w:val="22"/>
          <w:szCs w:val="22"/>
        </w:rPr>
        <w:t xml:space="preserve">. </w:t>
      </w:r>
    </w:p>
    <w:p w14:paraId="17C794AB" w14:textId="77777777" w:rsidR="003B1837" w:rsidRPr="005E12E5" w:rsidRDefault="003B1837" w:rsidP="00234ABF">
      <w:pPr>
        <w:ind w:firstLine="720"/>
        <w:jc w:val="both"/>
        <w:rPr>
          <w:color w:val="000000" w:themeColor="text1"/>
          <w:sz w:val="22"/>
          <w:szCs w:val="22"/>
        </w:rPr>
      </w:pPr>
    </w:p>
    <w:p w14:paraId="19A4260D" w14:textId="4777F689" w:rsidR="00E277DC" w:rsidRDefault="00D60D3B" w:rsidP="00234ABF">
      <w:pPr>
        <w:ind w:firstLine="720"/>
        <w:jc w:val="both"/>
        <w:rPr>
          <w:sz w:val="22"/>
          <w:szCs w:val="22"/>
        </w:rPr>
      </w:pPr>
      <w:r w:rsidRPr="005E12E5">
        <w:rPr>
          <w:color w:val="000000" w:themeColor="text1"/>
          <w:sz w:val="22"/>
          <w:szCs w:val="22"/>
        </w:rPr>
        <w:t xml:space="preserve">This </w:t>
      </w:r>
      <w:r w:rsidR="00045E57" w:rsidRPr="005E12E5">
        <w:rPr>
          <w:color w:val="000000" w:themeColor="text1"/>
          <w:sz w:val="22"/>
          <w:szCs w:val="22"/>
        </w:rPr>
        <w:t>research</w:t>
      </w:r>
      <w:r w:rsidRPr="005E12E5">
        <w:rPr>
          <w:color w:val="000000" w:themeColor="text1"/>
          <w:sz w:val="22"/>
          <w:szCs w:val="22"/>
        </w:rPr>
        <w:t xml:space="preserve"> is based on the idea that analysis of </w:t>
      </w:r>
      <w:r w:rsidR="00045E57" w:rsidRPr="005E12E5">
        <w:rPr>
          <w:color w:val="000000" w:themeColor="text1"/>
          <w:sz w:val="22"/>
          <w:szCs w:val="22"/>
        </w:rPr>
        <w:t xml:space="preserve">political </w:t>
      </w:r>
      <w:r w:rsidR="00BA4740" w:rsidRPr="005E12E5">
        <w:rPr>
          <w:color w:val="000000" w:themeColor="text1"/>
          <w:sz w:val="22"/>
          <w:szCs w:val="22"/>
        </w:rPr>
        <w:t>invective</w:t>
      </w:r>
      <w:r w:rsidR="00045E57" w:rsidRPr="005E12E5">
        <w:rPr>
          <w:color w:val="000000" w:themeColor="text1"/>
          <w:sz w:val="22"/>
          <w:szCs w:val="22"/>
        </w:rPr>
        <w:t xml:space="preserve"> and satire language </w:t>
      </w:r>
      <w:r w:rsidRPr="005E12E5">
        <w:rPr>
          <w:color w:val="000000" w:themeColor="text1"/>
          <w:sz w:val="22"/>
          <w:szCs w:val="22"/>
        </w:rPr>
        <w:t xml:space="preserve">requires a wider perspective that goes beyond a merely linguistic one. To this end, </w:t>
      </w:r>
      <w:r w:rsidR="00C47F6E" w:rsidRPr="005E12E5">
        <w:rPr>
          <w:color w:val="000000" w:themeColor="text1"/>
          <w:sz w:val="22"/>
          <w:szCs w:val="22"/>
        </w:rPr>
        <w:t xml:space="preserve">my </w:t>
      </w:r>
      <w:r w:rsidR="001C1B96" w:rsidRPr="005E12E5">
        <w:rPr>
          <w:color w:val="000000" w:themeColor="text1"/>
          <w:sz w:val="22"/>
          <w:szCs w:val="22"/>
        </w:rPr>
        <w:t>postdoctoral work will</w:t>
      </w:r>
      <w:r w:rsidRPr="005E12E5">
        <w:rPr>
          <w:color w:val="000000" w:themeColor="text1"/>
          <w:sz w:val="22"/>
          <w:szCs w:val="22"/>
        </w:rPr>
        <w:t xml:space="preserve"> link </w:t>
      </w:r>
      <w:r w:rsidR="00C47F6E" w:rsidRPr="005E12E5">
        <w:rPr>
          <w:color w:val="000000" w:themeColor="text1"/>
          <w:sz w:val="22"/>
          <w:szCs w:val="22"/>
        </w:rPr>
        <w:t xml:space="preserve">the </w:t>
      </w:r>
      <w:r w:rsidR="001C1B96" w:rsidRPr="005E12E5">
        <w:rPr>
          <w:color w:val="000000" w:themeColor="text1"/>
          <w:sz w:val="22"/>
          <w:szCs w:val="22"/>
        </w:rPr>
        <w:t xml:space="preserve">use of </w:t>
      </w:r>
      <w:r w:rsidRPr="005E12E5">
        <w:rPr>
          <w:color w:val="000000" w:themeColor="text1"/>
          <w:sz w:val="22"/>
          <w:szCs w:val="22"/>
        </w:rPr>
        <w:t>swearword</w:t>
      </w:r>
      <w:r w:rsidR="001C1B96" w:rsidRPr="005E12E5">
        <w:rPr>
          <w:color w:val="000000" w:themeColor="text1"/>
          <w:sz w:val="22"/>
          <w:szCs w:val="22"/>
        </w:rPr>
        <w:t>s</w:t>
      </w:r>
      <w:r w:rsidR="00911BAB" w:rsidRPr="005E12E5">
        <w:rPr>
          <w:color w:val="000000" w:themeColor="text1"/>
          <w:sz w:val="22"/>
          <w:szCs w:val="22"/>
        </w:rPr>
        <w:t xml:space="preserve"> </w:t>
      </w:r>
      <w:r w:rsidRPr="005E12E5">
        <w:rPr>
          <w:color w:val="000000" w:themeColor="text1"/>
          <w:sz w:val="22"/>
          <w:szCs w:val="22"/>
        </w:rPr>
        <w:t xml:space="preserve">with </w:t>
      </w:r>
      <w:r w:rsidR="00045E57" w:rsidRPr="005E12E5">
        <w:rPr>
          <w:color w:val="000000" w:themeColor="text1"/>
          <w:sz w:val="22"/>
          <w:szCs w:val="22"/>
        </w:rPr>
        <w:t>political affiliations</w:t>
      </w:r>
      <w:r w:rsidRPr="005E12E5">
        <w:rPr>
          <w:color w:val="000000" w:themeColor="text1"/>
          <w:sz w:val="22"/>
          <w:szCs w:val="22"/>
        </w:rPr>
        <w:t xml:space="preserve">, and </w:t>
      </w:r>
      <w:r w:rsidR="00C47F6E" w:rsidRPr="005E12E5">
        <w:rPr>
          <w:color w:val="000000" w:themeColor="text1"/>
          <w:sz w:val="22"/>
          <w:szCs w:val="22"/>
        </w:rPr>
        <w:t xml:space="preserve">will </w:t>
      </w:r>
      <w:r w:rsidRPr="005E12E5">
        <w:rPr>
          <w:color w:val="000000" w:themeColor="text1"/>
          <w:sz w:val="22"/>
          <w:szCs w:val="22"/>
        </w:rPr>
        <w:t xml:space="preserve">investigate their relationship with socio-biographical background, acculturation orientation, and </w:t>
      </w:r>
      <w:r w:rsidR="00045E57" w:rsidRPr="005E12E5">
        <w:rPr>
          <w:color w:val="000000" w:themeColor="text1"/>
          <w:sz w:val="22"/>
          <w:szCs w:val="22"/>
        </w:rPr>
        <w:t>censorship</w:t>
      </w:r>
      <w:r w:rsidRPr="005E12E5">
        <w:rPr>
          <w:color w:val="000000" w:themeColor="text1"/>
          <w:sz w:val="22"/>
          <w:szCs w:val="22"/>
        </w:rPr>
        <w:t xml:space="preserve">. </w:t>
      </w:r>
      <w:r w:rsidR="001C1B96" w:rsidRPr="005E12E5">
        <w:rPr>
          <w:color w:val="000000" w:themeColor="text1"/>
          <w:sz w:val="22"/>
          <w:szCs w:val="22"/>
        </w:rPr>
        <w:t xml:space="preserve">This </w:t>
      </w:r>
      <w:r w:rsidRPr="005E12E5">
        <w:rPr>
          <w:color w:val="000000" w:themeColor="text1"/>
          <w:sz w:val="22"/>
          <w:szCs w:val="22"/>
        </w:rPr>
        <w:t>hints at the possibility that use of swearwords may reflect the</w:t>
      </w:r>
      <w:r w:rsidR="001C1B96" w:rsidRPr="005E12E5">
        <w:rPr>
          <w:color w:val="000000" w:themeColor="text1"/>
          <w:sz w:val="22"/>
          <w:szCs w:val="22"/>
        </w:rPr>
        <w:t xml:space="preserve"> speakers’</w:t>
      </w:r>
      <w:r w:rsidRPr="005E12E5">
        <w:rPr>
          <w:color w:val="000000" w:themeColor="text1"/>
          <w:sz w:val="22"/>
          <w:szCs w:val="22"/>
        </w:rPr>
        <w:t xml:space="preserve"> </w:t>
      </w:r>
      <w:r w:rsidR="00371ABB" w:rsidRPr="005E12E5">
        <w:rPr>
          <w:color w:val="000000" w:themeColor="text1"/>
          <w:sz w:val="22"/>
          <w:szCs w:val="22"/>
        </w:rPr>
        <w:t xml:space="preserve">social </w:t>
      </w:r>
      <w:r w:rsidRPr="005E12E5">
        <w:rPr>
          <w:color w:val="000000" w:themeColor="text1"/>
          <w:sz w:val="22"/>
          <w:szCs w:val="22"/>
        </w:rPr>
        <w:t xml:space="preserve">status </w:t>
      </w:r>
      <w:r w:rsidR="001C1B96" w:rsidRPr="005E12E5">
        <w:rPr>
          <w:color w:val="000000" w:themeColor="text1"/>
          <w:sz w:val="22"/>
          <w:szCs w:val="22"/>
        </w:rPr>
        <w:t>and be influenced by</w:t>
      </w:r>
      <w:r w:rsidRPr="005E12E5">
        <w:rPr>
          <w:color w:val="000000" w:themeColor="text1"/>
          <w:sz w:val="22"/>
          <w:szCs w:val="22"/>
        </w:rPr>
        <w:t xml:space="preserve"> cultural norms, emotional attitudes, and many more factors which are all deeply embedded in their </w:t>
      </w:r>
      <w:r w:rsidR="00C76753" w:rsidRPr="005E12E5">
        <w:rPr>
          <w:color w:val="000000" w:themeColor="text1"/>
          <w:sz w:val="22"/>
          <w:szCs w:val="22"/>
        </w:rPr>
        <w:t>affiliation</w:t>
      </w:r>
      <w:r w:rsidRPr="005E12E5">
        <w:rPr>
          <w:color w:val="000000" w:themeColor="text1"/>
          <w:sz w:val="22"/>
          <w:szCs w:val="22"/>
        </w:rPr>
        <w:t xml:space="preserve">. Acknowledging that swearwords serve multiple functions, the </w:t>
      </w:r>
      <w:r w:rsidR="001C1B96" w:rsidRPr="005E12E5">
        <w:rPr>
          <w:color w:val="000000" w:themeColor="text1"/>
          <w:sz w:val="22"/>
          <w:szCs w:val="22"/>
        </w:rPr>
        <w:t xml:space="preserve">proposed </w:t>
      </w:r>
      <w:r w:rsidR="00C76753" w:rsidRPr="005E12E5">
        <w:rPr>
          <w:color w:val="000000" w:themeColor="text1"/>
          <w:sz w:val="22"/>
          <w:szCs w:val="22"/>
        </w:rPr>
        <w:t>research</w:t>
      </w:r>
      <w:r w:rsidRPr="005E12E5">
        <w:rPr>
          <w:color w:val="000000" w:themeColor="text1"/>
          <w:sz w:val="22"/>
          <w:szCs w:val="22"/>
        </w:rPr>
        <w:t xml:space="preserve"> focuses on the use of swearwords for expressing emotions, in particular anger</w:t>
      </w:r>
      <w:r w:rsidR="00C76753" w:rsidRPr="005E12E5">
        <w:rPr>
          <w:color w:val="000000" w:themeColor="text1"/>
          <w:sz w:val="22"/>
          <w:szCs w:val="22"/>
        </w:rPr>
        <w:t xml:space="preserve"> and satire</w:t>
      </w:r>
      <w:r w:rsidRPr="005E12E5">
        <w:rPr>
          <w:color w:val="000000" w:themeColor="text1"/>
          <w:sz w:val="22"/>
          <w:szCs w:val="22"/>
        </w:rPr>
        <w:t xml:space="preserve">. Thus, this </w:t>
      </w:r>
      <w:r w:rsidR="00C76753" w:rsidRPr="005E12E5">
        <w:rPr>
          <w:color w:val="000000" w:themeColor="text1"/>
          <w:sz w:val="22"/>
          <w:szCs w:val="22"/>
        </w:rPr>
        <w:t xml:space="preserve">research </w:t>
      </w:r>
      <w:r w:rsidRPr="005E12E5">
        <w:rPr>
          <w:color w:val="000000" w:themeColor="text1"/>
          <w:sz w:val="22"/>
          <w:szCs w:val="22"/>
        </w:rPr>
        <w:t xml:space="preserve">will seek </w:t>
      </w:r>
      <w:r w:rsidR="001C1B96" w:rsidRPr="005E12E5">
        <w:rPr>
          <w:color w:val="000000" w:themeColor="text1"/>
          <w:sz w:val="22"/>
          <w:szCs w:val="22"/>
        </w:rPr>
        <w:t xml:space="preserve">to deeply describe and explain </w:t>
      </w:r>
      <w:r w:rsidRPr="005E12E5">
        <w:rPr>
          <w:color w:val="000000" w:themeColor="text1"/>
          <w:sz w:val="22"/>
          <w:szCs w:val="22"/>
        </w:rPr>
        <w:t xml:space="preserve">the complex and dynamic relationships between swearword usage and individual levels of </w:t>
      </w:r>
      <w:r w:rsidR="00C76753" w:rsidRPr="005E12E5">
        <w:rPr>
          <w:color w:val="000000" w:themeColor="text1"/>
          <w:sz w:val="22"/>
          <w:szCs w:val="22"/>
        </w:rPr>
        <w:t xml:space="preserve">political affiliation or </w:t>
      </w:r>
      <w:r w:rsidRPr="005E12E5">
        <w:rPr>
          <w:color w:val="000000" w:themeColor="text1"/>
          <w:sz w:val="22"/>
          <w:szCs w:val="22"/>
        </w:rPr>
        <w:t xml:space="preserve">acculturation. </w:t>
      </w:r>
      <w:r w:rsidR="00371ABB" w:rsidRPr="005E12E5">
        <w:rPr>
          <w:sz w:val="22"/>
          <w:szCs w:val="22"/>
        </w:rPr>
        <w:t>This</w:t>
      </w:r>
      <w:r w:rsidR="007A09CF" w:rsidRPr="005E12E5">
        <w:rPr>
          <w:sz w:val="22"/>
          <w:szCs w:val="22"/>
        </w:rPr>
        <w:t xml:space="preserve"> will contribute to the existing knowledge by providing new insight</w:t>
      </w:r>
      <w:r w:rsidR="00371ABB" w:rsidRPr="005E12E5">
        <w:rPr>
          <w:sz w:val="22"/>
          <w:szCs w:val="22"/>
        </w:rPr>
        <w:t>s</w:t>
      </w:r>
      <w:r w:rsidR="007A09CF" w:rsidRPr="005E12E5">
        <w:rPr>
          <w:sz w:val="22"/>
          <w:szCs w:val="22"/>
        </w:rPr>
        <w:t xml:space="preserve"> on issues concerning the </w:t>
      </w:r>
      <w:r w:rsidR="00371ABB" w:rsidRPr="005E12E5">
        <w:rPr>
          <w:sz w:val="22"/>
          <w:szCs w:val="22"/>
        </w:rPr>
        <w:t xml:space="preserve">impact of </w:t>
      </w:r>
      <w:r w:rsidR="00EF412E" w:rsidRPr="005E12E5">
        <w:rPr>
          <w:sz w:val="22"/>
          <w:szCs w:val="22"/>
        </w:rPr>
        <w:t xml:space="preserve">political circumstances, cultural, and ideological orientations on </w:t>
      </w:r>
      <w:r w:rsidR="00371ABB" w:rsidRPr="005E12E5">
        <w:rPr>
          <w:sz w:val="22"/>
          <w:szCs w:val="22"/>
        </w:rPr>
        <w:t xml:space="preserve">the </w:t>
      </w:r>
      <w:r w:rsidR="007A09CF" w:rsidRPr="005E12E5">
        <w:rPr>
          <w:sz w:val="22"/>
          <w:szCs w:val="22"/>
        </w:rPr>
        <w:t>us</w:t>
      </w:r>
      <w:r w:rsidR="00EF412E" w:rsidRPr="005E12E5">
        <w:rPr>
          <w:sz w:val="22"/>
          <w:szCs w:val="22"/>
        </w:rPr>
        <w:t>e of</w:t>
      </w:r>
      <w:r w:rsidR="007A09CF" w:rsidRPr="005E12E5">
        <w:rPr>
          <w:sz w:val="22"/>
          <w:szCs w:val="22"/>
        </w:rPr>
        <w:t xml:space="preserve"> political invective</w:t>
      </w:r>
      <w:r w:rsidR="00371ABB" w:rsidRPr="005E12E5">
        <w:rPr>
          <w:sz w:val="22"/>
          <w:szCs w:val="22"/>
        </w:rPr>
        <w:t>s</w:t>
      </w:r>
      <w:r w:rsidR="007A09CF" w:rsidRPr="005E12E5">
        <w:rPr>
          <w:sz w:val="22"/>
          <w:szCs w:val="22"/>
        </w:rPr>
        <w:t xml:space="preserve"> and satire language</w:t>
      </w:r>
      <w:r w:rsidR="00EF412E" w:rsidRPr="005E12E5">
        <w:rPr>
          <w:sz w:val="22"/>
          <w:szCs w:val="22"/>
        </w:rPr>
        <w:t xml:space="preserve"> and </w:t>
      </w:r>
      <w:r w:rsidR="00371ABB" w:rsidRPr="005E12E5">
        <w:rPr>
          <w:sz w:val="22"/>
          <w:szCs w:val="22"/>
        </w:rPr>
        <w:t xml:space="preserve">the </w:t>
      </w:r>
      <w:r w:rsidR="00EF412E" w:rsidRPr="005E12E5">
        <w:rPr>
          <w:sz w:val="22"/>
          <w:szCs w:val="22"/>
        </w:rPr>
        <w:t>possible effect of</w:t>
      </w:r>
      <w:r w:rsidR="00AC4627" w:rsidRPr="005E12E5">
        <w:rPr>
          <w:sz w:val="22"/>
          <w:szCs w:val="22"/>
        </w:rPr>
        <w:t xml:space="preserve"> censorship law </w:t>
      </w:r>
      <w:r w:rsidR="00EF412E" w:rsidRPr="005E12E5">
        <w:rPr>
          <w:sz w:val="22"/>
          <w:szCs w:val="22"/>
        </w:rPr>
        <w:t xml:space="preserve">on </w:t>
      </w:r>
      <w:r w:rsidR="00AC4627" w:rsidRPr="005E12E5">
        <w:rPr>
          <w:sz w:val="22"/>
          <w:szCs w:val="22"/>
        </w:rPr>
        <w:t>regulat</w:t>
      </w:r>
      <w:r w:rsidR="00EF412E" w:rsidRPr="005E12E5">
        <w:rPr>
          <w:sz w:val="22"/>
          <w:szCs w:val="22"/>
        </w:rPr>
        <w:t>ing</w:t>
      </w:r>
      <w:r w:rsidR="00AC4627" w:rsidRPr="005E12E5">
        <w:rPr>
          <w:sz w:val="22"/>
          <w:szCs w:val="22"/>
        </w:rPr>
        <w:t xml:space="preserve"> the public discourse and use of </w:t>
      </w:r>
      <w:r w:rsidR="00765C47" w:rsidRPr="005E12E5">
        <w:rPr>
          <w:sz w:val="22"/>
          <w:szCs w:val="22"/>
        </w:rPr>
        <w:t>invective</w:t>
      </w:r>
      <w:r w:rsidR="00AC4627" w:rsidRPr="005E12E5">
        <w:rPr>
          <w:sz w:val="22"/>
          <w:szCs w:val="22"/>
        </w:rPr>
        <w:t xml:space="preserve"> language in politics.</w:t>
      </w:r>
      <w:r w:rsidR="00DE20C7" w:rsidRPr="005E12E5">
        <w:rPr>
          <w:sz w:val="22"/>
          <w:szCs w:val="22"/>
        </w:rPr>
        <w:t xml:space="preserve"> </w:t>
      </w:r>
    </w:p>
    <w:p w14:paraId="6039D3B0" w14:textId="257AF2B0" w:rsidR="00AD5248" w:rsidRDefault="00AD5248" w:rsidP="00234ABF">
      <w:pPr>
        <w:ind w:firstLine="720"/>
        <w:jc w:val="both"/>
        <w:rPr>
          <w:sz w:val="22"/>
          <w:szCs w:val="22"/>
        </w:rPr>
      </w:pPr>
    </w:p>
    <w:p w14:paraId="78BD050E" w14:textId="77777777" w:rsidR="00AD5248" w:rsidRPr="005E12E5" w:rsidRDefault="00AD5248" w:rsidP="00234ABF">
      <w:pPr>
        <w:ind w:firstLine="720"/>
        <w:jc w:val="both"/>
        <w:rPr>
          <w:sz w:val="22"/>
          <w:szCs w:val="22"/>
        </w:rPr>
      </w:pPr>
    </w:p>
    <w:p w14:paraId="1AE2BD07" w14:textId="77777777" w:rsidR="003B1837" w:rsidRPr="005E12E5" w:rsidRDefault="003B1837" w:rsidP="00234ABF">
      <w:pPr>
        <w:jc w:val="both"/>
        <w:rPr>
          <w:b/>
          <w:bCs/>
          <w:sz w:val="22"/>
          <w:szCs w:val="22"/>
          <w:u w:val="single"/>
        </w:rPr>
      </w:pPr>
    </w:p>
    <w:p w14:paraId="71943E39" w14:textId="5E9F2887" w:rsidR="00B1083E" w:rsidRPr="005E12E5" w:rsidRDefault="00967F78" w:rsidP="00234ABF">
      <w:pPr>
        <w:jc w:val="both"/>
        <w:rPr>
          <w:sz w:val="22"/>
          <w:szCs w:val="22"/>
          <w:u w:val="single"/>
        </w:rPr>
      </w:pPr>
      <w:r w:rsidRPr="005E12E5">
        <w:rPr>
          <w:b/>
          <w:bCs/>
          <w:sz w:val="22"/>
          <w:szCs w:val="22"/>
          <w:u w:val="single"/>
        </w:rPr>
        <w:lastRenderedPageBreak/>
        <w:t xml:space="preserve">Postdoctoral </w:t>
      </w:r>
      <w:r w:rsidR="00D14A58" w:rsidRPr="005E12E5">
        <w:rPr>
          <w:b/>
          <w:bCs/>
          <w:sz w:val="22"/>
          <w:szCs w:val="22"/>
          <w:u w:val="single"/>
        </w:rPr>
        <w:t>S</w:t>
      </w:r>
      <w:r w:rsidRPr="005E12E5">
        <w:rPr>
          <w:b/>
          <w:bCs/>
          <w:sz w:val="22"/>
          <w:szCs w:val="22"/>
          <w:u w:val="single"/>
        </w:rPr>
        <w:t>upervision and Host University</w:t>
      </w:r>
    </w:p>
    <w:p w14:paraId="011E98DB" w14:textId="73E3BEA4" w:rsidR="0044447E" w:rsidRPr="005E12E5" w:rsidRDefault="00967F78" w:rsidP="006B56D9">
      <w:pPr>
        <w:ind w:firstLine="720"/>
        <w:jc w:val="both"/>
        <w:rPr>
          <w:bCs/>
          <w:sz w:val="22"/>
          <w:szCs w:val="22"/>
        </w:rPr>
      </w:pPr>
      <w:r w:rsidRPr="005E12E5">
        <w:rPr>
          <w:sz w:val="22"/>
          <w:szCs w:val="22"/>
        </w:rPr>
        <w:t xml:space="preserve">Professor Mohammad </w:t>
      </w:r>
      <w:proofErr w:type="spellStart"/>
      <w:r w:rsidRPr="005E12E5">
        <w:rPr>
          <w:sz w:val="22"/>
          <w:szCs w:val="22"/>
        </w:rPr>
        <w:t>Tavakoli-Targhi</w:t>
      </w:r>
      <w:proofErr w:type="spellEnd"/>
      <w:r w:rsidRPr="005E12E5">
        <w:rPr>
          <w:sz w:val="22"/>
          <w:szCs w:val="22"/>
        </w:rPr>
        <w:t xml:space="preserve"> has kindly agreed to supervise my post</w:t>
      </w:r>
      <w:r w:rsidR="00EA6A51" w:rsidRPr="005E12E5">
        <w:rPr>
          <w:sz w:val="22"/>
          <w:szCs w:val="22"/>
        </w:rPr>
        <w:t xml:space="preserve">doctoral </w:t>
      </w:r>
      <w:r w:rsidRPr="005E12E5">
        <w:rPr>
          <w:sz w:val="22"/>
          <w:szCs w:val="22"/>
        </w:rPr>
        <w:t>research</w:t>
      </w:r>
      <w:r w:rsidR="00EA6A51" w:rsidRPr="005E12E5">
        <w:rPr>
          <w:sz w:val="22"/>
          <w:szCs w:val="22"/>
        </w:rPr>
        <w:t xml:space="preserve">. Dr. </w:t>
      </w:r>
      <w:proofErr w:type="spellStart"/>
      <w:r w:rsidR="00EA6A51" w:rsidRPr="005E12E5">
        <w:rPr>
          <w:sz w:val="22"/>
          <w:szCs w:val="22"/>
        </w:rPr>
        <w:t>Tavakoli-Targhi</w:t>
      </w:r>
      <w:proofErr w:type="spellEnd"/>
      <w:r w:rsidRPr="005E12E5">
        <w:rPr>
          <w:sz w:val="22"/>
          <w:szCs w:val="22"/>
        </w:rPr>
        <w:t xml:space="preserve"> is the director of </w:t>
      </w:r>
      <w:proofErr w:type="spellStart"/>
      <w:r w:rsidRPr="005E12E5">
        <w:rPr>
          <w:bCs/>
          <w:sz w:val="22"/>
          <w:szCs w:val="22"/>
        </w:rPr>
        <w:t>Elahé</w:t>
      </w:r>
      <w:proofErr w:type="spellEnd"/>
      <w:r w:rsidRPr="005E12E5">
        <w:rPr>
          <w:bCs/>
          <w:sz w:val="22"/>
          <w:szCs w:val="22"/>
        </w:rPr>
        <w:t xml:space="preserve"> Omidyar Mir-</w:t>
      </w:r>
      <w:proofErr w:type="spellStart"/>
      <w:r w:rsidRPr="005E12E5">
        <w:rPr>
          <w:bCs/>
          <w:sz w:val="22"/>
          <w:szCs w:val="22"/>
        </w:rPr>
        <w:t>Djalali</w:t>
      </w:r>
      <w:proofErr w:type="spellEnd"/>
      <w:r w:rsidRPr="005E12E5">
        <w:rPr>
          <w:bCs/>
          <w:sz w:val="22"/>
          <w:szCs w:val="22"/>
        </w:rPr>
        <w:t xml:space="preserve"> Iranian Studies and professor of Historical </w:t>
      </w:r>
      <w:r w:rsidR="0002400E" w:rsidRPr="005E12E5">
        <w:rPr>
          <w:bCs/>
          <w:sz w:val="22"/>
          <w:szCs w:val="22"/>
        </w:rPr>
        <w:t>S</w:t>
      </w:r>
      <w:r w:rsidRPr="005E12E5">
        <w:rPr>
          <w:bCs/>
          <w:sz w:val="22"/>
          <w:szCs w:val="22"/>
        </w:rPr>
        <w:t xml:space="preserve">tudies at </w:t>
      </w:r>
      <w:r w:rsidR="0002400E" w:rsidRPr="005E12E5">
        <w:rPr>
          <w:bCs/>
          <w:sz w:val="22"/>
          <w:szCs w:val="22"/>
        </w:rPr>
        <w:t xml:space="preserve">the </w:t>
      </w:r>
      <w:r w:rsidRPr="005E12E5">
        <w:rPr>
          <w:bCs/>
          <w:sz w:val="22"/>
          <w:szCs w:val="22"/>
        </w:rPr>
        <w:t xml:space="preserve">Department of Near </w:t>
      </w:r>
      <w:r w:rsidR="00EA6A51" w:rsidRPr="005E12E5">
        <w:rPr>
          <w:bCs/>
          <w:sz w:val="22"/>
          <w:szCs w:val="22"/>
        </w:rPr>
        <w:t xml:space="preserve">and </w:t>
      </w:r>
      <w:r w:rsidRPr="005E12E5">
        <w:rPr>
          <w:bCs/>
          <w:sz w:val="22"/>
          <w:szCs w:val="22"/>
        </w:rPr>
        <w:t>Middle Eastern Civilization</w:t>
      </w:r>
      <w:r w:rsidR="00305137" w:rsidRPr="005E12E5">
        <w:rPr>
          <w:bCs/>
          <w:sz w:val="22"/>
          <w:szCs w:val="22"/>
        </w:rPr>
        <w:t xml:space="preserve"> University of Toronto</w:t>
      </w:r>
      <w:r w:rsidRPr="005E12E5">
        <w:rPr>
          <w:bCs/>
          <w:sz w:val="22"/>
          <w:szCs w:val="22"/>
        </w:rPr>
        <w:t>. His globally recognized research focuses on Persian studies, political discourse</w:t>
      </w:r>
      <w:r w:rsidR="00305137" w:rsidRPr="005E12E5">
        <w:rPr>
          <w:bCs/>
          <w:sz w:val="22"/>
          <w:szCs w:val="22"/>
        </w:rPr>
        <w:t>,</w:t>
      </w:r>
      <w:r w:rsidRPr="005E12E5">
        <w:rPr>
          <w:bCs/>
          <w:sz w:val="22"/>
          <w:szCs w:val="22"/>
        </w:rPr>
        <w:t xml:space="preserve"> and political rhetoric. His expertise </w:t>
      </w:r>
      <w:r w:rsidR="00EA6A51" w:rsidRPr="005E12E5">
        <w:rPr>
          <w:bCs/>
          <w:sz w:val="22"/>
          <w:szCs w:val="22"/>
        </w:rPr>
        <w:t>i</w:t>
      </w:r>
      <w:r w:rsidRPr="005E12E5">
        <w:rPr>
          <w:bCs/>
          <w:sz w:val="22"/>
          <w:szCs w:val="22"/>
        </w:rPr>
        <w:t xml:space="preserve">n Persian studies complements my current and future work </w:t>
      </w:r>
      <w:r w:rsidR="00EA6A51" w:rsidRPr="005E12E5">
        <w:rPr>
          <w:bCs/>
          <w:sz w:val="22"/>
          <w:szCs w:val="22"/>
        </w:rPr>
        <w:t xml:space="preserve">and it </w:t>
      </w:r>
      <w:r w:rsidRPr="005E12E5">
        <w:rPr>
          <w:bCs/>
          <w:sz w:val="22"/>
          <w:szCs w:val="22"/>
        </w:rPr>
        <w:t xml:space="preserve">will enrich my theoretical approach in the next stage of my academic career. In addition, I will have full access to </w:t>
      </w:r>
      <w:r w:rsidR="0002400E" w:rsidRPr="005E12E5">
        <w:rPr>
          <w:bCs/>
          <w:sz w:val="22"/>
          <w:szCs w:val="22"/>
        </w:rPr>
        <w:t xml:space="preserve">the </w:t>
      </w:r>
      <w:proofErr w:type="spellStart"/>
      <w:r w:rsidRPr="005E12E5">
        <w:rPr>
          <w:bCs/>
          <w:sz w:val="22"/>
          <w:szCs w:val="22"/>
        </w:rPr>
        <w:t>Tavakoli</w:t>
      </w:r>
      <w:proofErr w:type="spellEnd"/>
      <w:r w:rsidRPr="005E12E5">
        <w:rPr>
          <w:bCs/>
          <w:sz w:val="22"/>
          <w:szCs w:val="22"/>
        </w:rPr>
        <w:t xml:space="preserve"> Archives</w:t>
      </w:r>
      <w:r w:rsidR="00EA6A51" w:rsidRPr="005E12E5">
        <w:rPr>
          <w:bCs/>
          <w:sz w:val="22"/>
          <w:szCs w:val="22"/>
        </w:rPr>
        <w:t>,</w:t>
      </w:r>
      <w:r w:rsidRPr="005E12E5">
        <w:rPr>
          <w:bCs/>
          <w:sz w:val="22"/>
          <w:szCs w:val="22"/>
        </w:rPr>
        <w:t xml:space="preserve"> which </w:t>
      </w:r>
      <w:r w:rsidR="00EA6A51" w:rsidRPr="005E12E5">
        <w:rPr>
          <w:bCs/>
          <w:sz w:val="22"/>
          <w:szCs w:val="22"/>
        </w:rPr>
        <w:t>are</w:t>
      </w:r>
      <w:r w:rsidRPr="005E12E5">
        <w:rPr>
          <w:bCs/>
          <w:sz w:val="22"/>
          <w:szCs w:val="22"/>
        </w:rPr>
        <w:t xml:space="preserve"> rich collections of newspapers and journals that are not available </w:t>
      </w:r>
      <w:r w:rsidR="00EA6A51" w:rsidRPr="005E12E5">
        <w:rPr>
          <w:bCs/>
          <w:sz w:val="22"/>
          <w:szCs w:val="22"/>
        </w:rPr>
        <w:t>elsewhere</w:t>
      </w:r>
      <w:r w:rsidRPr="005E12E5">
        <w:rPr>
          <w:bCs/>
          <w:sz w:val="22"/>
          <w:szCs w:val="22"/>
        </w:rPr>
        <w:t xml:space="preserve">. The university is home to many faculties and departments, inspiring and encouraging interdisciplinary research and academic exchange. I look forward </w:t>
      </w:r>
      <w:r w:rsidR="00B46088" w:rsidRPr="005E12E5">
        <w:rPr>
          <w:bCs/>
          <w:sz w:val="22"/>
          <w:szCs w:val="22"/>
        </w:rPr>
        <w:t>to have closer interaction</w:t>
      </w:r>
      <w:r w:rsidR="00EA6A51" w:rsidRPr="005E12E5">
        <w:rPr>
          <w:bCs/>
          <w:sz w:val="22"/>
          <w:szCs w:val="22"/>
        </w:rPr>
        <w:t>s</w:t>
      </w:r>
      <w:r w:rsidR="00B46088" w:rsidRPr="005E12E5">
        <w:rPr>
          <w:bCs/>
          <w:sz w:val="22"/>
          <w:szCs w:val="22"/>
        </w:rPr>
        <w:t xml:space="preserve"> with Professor Neda </w:t>
      </w:r>
      <w:proofErr w:type="spellStart"/>
      <w:r w:rsidR="00B46088" w:rsidRPr="005E12E5">
        <w:rPr>
          <w:bCs/>
          <w:sz w:val="22"/>
          <w:szCs w:val="22"/>
        </w:rPr>
        <w:t>Maghbouleh</w:t>
      </w:r>
      <w:proofErr w:type="spellEnd"/>
      <w:r w:rsidR="00985A0E">
        <w:rPr>
          <w:bCs/>
          <w:sz w:val="22"/>
          <w:szCs w:val="22"/>
        </w:rPr>
        <w:t xml:space="preserve">, </w:t>
      </w:r>
      <w:r w:rsidR="00531FDB">
        <w:rPr>
          <w:bCs/>
          <w:sz w:val="22"/>
          <w:szCs w:val="22"/>
        </w:rPr>
        <w:t xml:space="preserve">Professor </w:t>
      </w:r>
      <w:proofErr w:type="spellStart"/>
      <w:r w:rsidR="00531FDB">
        <w:rPr>
          <w:bCs/>
          <w:sz w:val="22"/>
          <w:szCs w:val="22"/>
        </w:rPr>
        <w:t>Sharzad</w:t>
      </w:r>
      <w:proofErr w:type="spellEnd"/>
      <w:r w:rsidR="00531FDB">
        <w:rPr>
          <w:bCs/>
          <w:sz w:val="22"/>
          <w:szCs w:val="22"/>
        </w:rPr>
        <w:t xml:space="preserve"> </w:t>
      </w:r>
      <w:proofErr w:type="spellStart"/>
      <w:r w:rsidR="00531FDB">
        <w:rPr>
          <w:bCs/>
          <w:sz w:val="22"/>
          <w:szCs w:val="22"/>
        </w:rPr>
        <w:t>Mojab</w:t>
      </w:r>
      <w:proofErr w:type="spellEnd"/>
      <w:r w:rsidR="00531FDB">
        <w:rPr>
          <w:bCs/>
          <w:sz w:val="22"/>
          <w:szCs w:val="22"/>
        </w:rPr>
        <w:t xml:space="preserve">, </w:t>
      </w:r>
      <w:r w:rsidR="00B46088" w:rsidRPr="005E12E5">
        <w:rPr>
          <w:bCs/>
          <w:sz w:val="22"/>
          <w:szCs w:val="22"/>
        </w:rPr>
        <w:t>Professor Victoria Tahmasebi</w:t>
      </w:r>
      <w:r w:rsidR="00985A0E">
        <w:rPr>
          <w:bCs/>
          <w:sz w:val="22"/>
          <w:szCs w:val="22"/>
        </w:rPr>
        <w:t xml:space="preserve"> and Professor </w:t>
      </w:r>
      <w:proofErr w:type="spellStart"/>
      <w:r w:rsidR="00985A0E">
        <w:rPr>
          <w:bCs/>
          <w:sz w:val="22"/>
          <w:szCs w:val="22"/>
        </w:rPr>
        <w:t>Azita</w:t>
      </w:r>
      <w:proofErr w:type="spellEnd"/>
      <w:r w:rsidR="00985A0E">
        <w:rPr>
          <w:bCs/>
          <w:sz w:val="22"/>
          <w:szCs w:val="22"/>
        </w:rPr>
        <w:t xml:space="preserve"> </w:t>
      </w:r>
      <w:proofErr w:type="spellStart"/>
      <w:r w:rsidR="00985A0E">
        <w:rPr>
          <w:bCs/>
          <w:sz w:val="22"/>
          <w:szCs w:val="22"/>
        </w:rPr>
        <w:t>Taleghani</w:t>
      </w:r>
      <w:proofErr w:type="spellEnd"/>
      <w:r w:rsidR="00EA6A51" w:rsidRPr="005E12E5">
        <w:rPr>
          <w:bCs/>
          <w:sz w:val="22"/>
          <w:szCs w:val="22"/>
        </w:rPr>
        <w:t>, to complement my theoretical and methodological approaches</w:t>
      </w:r>
      <w:r w:rsidR="00B46088" w:rsidRPr="005E12E5">
        <w:rPr>
          <w:bCs/>
          <w:sz w:val="22"/>
          <w:szCs w:val="22"/>
        </w:rPr>
        <w:t>.</w:t>
      </w:r>
      <w:r w:rsidR="0044447E" w:rsidRPr="005E12E5">
        <w:rPr>
          <w:bCs/>
          <w:sz w:val="22"/>
          <w:szCs w:val="22"/>
        </w:rPr>
        <w:br w:type="page"/>
      </w:r>
    </w:p>
    <w:p w14:paraId="0E26E99F" w14:textId="77777777" w:rsidR="00623B71" w:rsidRPr="005E12E5" w:rsidRDefault="00623B71" w:rsidP="00234ABF">
      <w:pPr>
        <w:rPr>
          <w:sz w:val="22"/>
          <w:szCs w:val="22"/>
        </w:rPr>
      </w:pPr>
    </w:p>
    <w:p w14:paraId="688DA28A" w14:textId="26651016" w:rsidR="008C3BA4" w:rsidRPr="005E12E5" w:rsidRDefault="008C3BA4" w:rsidP="00234ABF">
      <w:pPr>
        <w:jc w:val="center"/>
        <w:rPr>
          <w:b/>
          <w:sz w:val="22"/>
          <w:szCs w:val="22"/>
        </w:rPr>
      </w:pPr>
      <w:r w:rsidRPr="005E12E5">
        <w:rPr>
          <w:b/>
          <w:sz w:val="22"/>
          <w:szCs w:val="22"/>
        </w:rPr>
        <w:t>REFRENCES</w:t>
      </w:r>
    </w:p>
    <w:p w14:paraId="566C5B37" w14:textId="77777777" w:rsidR="004344CA" w:rsidRPr="005E12E5" w:rsidRDefault="004344CA" w:rsidP="00234ABF">
      <w:pPr>
        <w:rPr>
          <w:sz w:val="22"/>
          <w:szCs w:val="22"/>
        </w:rPr>
      </w:pPr>
      <w:r w:rsidRPr="005E12E5">
        <w:rPr>
          <w:color w:val="232323"/>
          <w:sz w:val="22"/>
          <w:szCs w:val="22"/>
          <w:shd w:val="clear" w:color="auto" w:fill="FFFFFF"/>
        </w:rPr>
        <w:t>Abrahamian, E. (2008) A History of Modern Iran. Cambridge University Press, Cambridge.</w:t>
      </w:r>
      <w:r w:rsidRPr="005E12E5">
        <w:rPr>
          <w:rStyle w:val="apple-converted-space"/>
          <w:color w:val="232323"/>
          <w:sz w:val="22"/>
          <w:szCs w:val="22"/>
          <w:shd w:val="clear" w:color="auto" w:fill="FFFFFF"/>
        </w:rPr>
        <w:t> </w:t>
      </w:r>
    </w:p>
    <w:p w14:paraId="0CC9932E" w14:textId="0AD99889" w:rsidR="009E4698" w:rsidRPr="005E12E5" w:rsidRDefault="009E4698" w:rsidP="00234ABF">
      <w:pPr>
        <w:rPr>
          <w:sz w:val="22"/>
          <w:szCs w:val="22"/>
        </w:rPr>
      </w:pPr>
      <w:proofErr w:type="spellStart"/>
      <w:r w:rsidRPr="005E12E5">
        <w:rPr>
          <w:sz w:val="22"/>
          <w:szCs w:val="22"/>
        </w:rPr>
        <w:t>Dewaele</w:t>
      </w:r>
      <w:proofErr w:type="spellEnd"/>
      <w:r w:rsidRPr="005E12E5">
        <w:rPr>
          <w:sz w:val="22"/>
          <w:szCs w:val="22"/>
        </w:rPr>
        <w:t xml:space="preserve">, J. M. (2004). Blistering barnacles! What language do multilinguals swear in?!, </w:t>
      </w:r>
    </w:p>
    <w:p w14:paraId="2C200376" w14:textId="311BF53C" w:rsidR="009E4698" w:rsidRPr="005E12E5" w:rsidRDefault="009E4698" w:rsidP="00234ABF">
      <w:pPr>
        <w:ind w:firstLine="720"/>
        <w:rPr>
          <w:sz w:val="22"/>
          <w:szCs w:val="22"/>
        </w:rPr>
      </w:pPr>
      <w:proofErr w:type="spellStart"/>
      <w:r w:rsidRPr="005E12E5">
        <w:rPr>
          <w:i/>
          <w:iCs/>
          <w:sz w:val="22"/>
          <w:szCs w:val="22"/>
        </w:rPr>
        <w:t>Estudios</w:t>
      </w:r>
      <w:proofErr w:type="spellEnd"/>
      <w:r w:rsidRPr="005E12E5">
        <w:rPr>
          <w:i/>
          <w:iCs/>
          <w:sz w:val="22"/>
          <w:szCs w:val="22"/>
        </w:rPr>
        <w:t xml:space="preserve"> de </w:t>
      </w:r>
      <w:proofErr w:type="spellStart"/>
      <w:r w:rsidRPr="005E12E5">
        <w:rPr>
          <w:i/>
          <w:iCs/>
          <w:sz w:val="22"/>
          <w:szCs w:val="22"/>
        </w:rPr>
        <w:t>Sociolinguistica</w:t>
      </w:r>
      <w:proofErr w:type="spellEnd"/>
      <w:r w:rsidRPr="005E12E5">
        <w:rPr>
          <w:i/>
          <w:iCs/>
          <w:sz w:val="22"/>
          <w:szCs w:val="22"/>
        </w:rPr>
        <w:t xml:space="preserve">, </w:t>
      </w:r>
      <w:r w:rsidRPr="005E12E5">
        <w:rPr>
          <w:sz w:val="22"/>
          <w:szCs w:val="22"/>
        </w:rPr>
        <w:t>5(1), 83-105.</w:t>
      </w:r>
    </w:p>
    <w:p w14:paraId="6A60C5C9" w14:textId="77777777" w:rsidR="00533F8B" w:rsidRDefault="009E4698" w:rsidP="00533F8B">
      <w:pPr>
        <w:rPr>
          <w:sz w:val="22"/>
          <w:szCs w:val="22"/>
        </w:rPr>
      </w:pPr>
      <w:r w:rsidRPr="005E12E5">
        <w:rPr>
          <w:sz w:val="22"/>
          <w:szCs w:val="22"/>
        </w:rPr>
        <w:t xml:space="preserve">Jay, T. (2000). </w:t>
      </w:r>
      <w:r w:rsidRPr="005E12E5">
        <w:rPr>
          <w:i/>
          <w:sz w:val="22"/>
          <w:szCs w:val="22"/>
        </w:rPr>
        <w:t>Why we curse: A neuro-psycho-social theory of speech</w:t>
      </w:r>
      <w:r w:rsidRPr="005E12E5">
        <w:rPr>
          <w:sz w:val="22"/>
          <w:szCs w:val="22"/>
        </w:rPr>
        <w:t xml:space="preserve">. Philadelphia: John </w:t>
      </w:r>
      <w:proofErr w:type="spellStart"/>
      <w:r w:rsidRPr="005E12E5">
        <w:rPr>
          <w:sz w:val="22"/>
          <w:szCs w:val="22"/>
        </w:rPr>
        <w:t>Benjamins</w:t>
      </w:r>
      <w:proofErr w:type="spellEnd"/>
      <w:r w:rsidRPr="005E12E5">
        <w:rPr>
          <w:sz w:val="22"/>
          <w:szCs w:val="22"/>
        </w:rPr>
        <w:t xml:space="preserve"> Publication </w:t>
      </w:r>
    </w:p>
    <w:p w14:paraId="67A09D1D" w14:textId="1D908FB5" w:rsidR="009E4698" w:rsidRPr="005E12E5" w:rsidRDefault="009E4698" w:rsidP="00533F8B">
      <w:pPr>
        <w:ind w:firstLine="720"/>
        <w:rPr>
          <w:sz w:val="22"/>
          <w:szCs w:val="22"/>
        </w:rPr>
      </w:pPr>
      <w:r w:rsidRPr="005E12E5">
        <w:rPr>
          <w:sz w:val="22"/>
          <w:szCs w:val="22"/>
        </w:rPr>
        <w:t>Company (6</w:t>
      </w:r>
      <w:r w:rsidRPr="005E12E5">
        <w:rPr>
          <w:sz w:val="22"/>
          <w:szCs w:val="22"/>
          <w:vertAlign w:val="superscript"/>
        </w:rPr>
        <w:t>th</w:t>
      </w:r>
      <w:r w:rsidRPr="005E12E5">
        <w:rPr>
          <w:sz w:val="22"/>
          <w:szCs w:val="22"/>
        </w:rPr>
        <w:t xml:space="preserve"> ed.).</w:t>
      </w:r>
    </w:p>
    <w:p w14:paraId="045443F2" w14:textId="77777777" w:rsidR="009E4698" w:rsidRPr="005E12E5" w:rsidRDefault="009E4698" w:rsidP="00234ABF">
      <w:pPr>
        <w:rPr>
          <w:color w:val="000000" w:themeColor="text1"/>
          <w:sz w:val="22"/>
          <w:szCs w:val="22"/>
          <w:lang w:eastAsia="en-CA"/>
        </w:rPr>
      </w:pPr>
      <w:r w:rsidRPr="005E12E5">
        <w:rPr>
          <w:color w:val="000000" w:themeColor="text1"/>
          <w:sz w:val="22"/>
          <w:szCs w:val="22"/>
          <w:lang w:eastAsia="en-CA"/>
        </w:rPr>
        <w:t xml:space="preserve">Jay, T., &amp; </w:t>
      </w:r>
      <w:proofErr w:type="spellStart"/>
      <w:r w:rsidRPr="005E12E5">
        <w:rPr>
          <w:color w:val="000000" w:themeColor="text1"/>
          <w:sz w:val="22"/>
          <w:szCs w:val="22"/>
          <w:lang w:eastAsia="en-CA"/>
        </w:rPr>
        <w:t>Janschewitz</w:t>
      </w:r>
      <w:proofErr w:type="spellEnd"/>
      <w:r w:rsidRPr="005E12E5">
        <w:rPr>
          <w:color w:val="000000" w:themeColor="text1"/>
          <w:sz w:val="22"/>
          <w:szCs w:val="22"/>
          <w:lang w:eastAsia="en-CA"/>
        </w:rPr>
        <w:t xml:space="preserve">, K. (2007). Filling the emotion gap in linguistic theory: Commentary on </w:t>
      </w:r>
    </w:p>
    <w:p w14:paraId="2FBF3A89" w14:textId="77777777" w:rsidR="009E4698" w:rsidRPr="005E12E5" w:rsidRDefault="009E4698" w:rsidP="00234ABF">
      <w:pPr>
        <w:ind w:firstLine="720"/>
        <w:rPr>
          <w:color w:val="000000" w:themeColor="text1"/>
          <w:sz w:val="22"/>
          <w:szCs w:val="22"/>
          <w:lang w:eastAsia="en-CA"/>
        </w:rPr>
      </w:pPr>
      <w:r w:rsidRPr="005E12E5">
        <w:rPr>
          <w:color w:val="000000" w:themeColor="text1"/>
          <w:sz w:val="22"/>
          <w:szCs w:val="22"/>
          <w:lang w:eastAsia="en-CA"/>
        </w:rPr>
        <w:t xml:space="preserve">Potts’ expressive dimension. </w:t>
      </w:r>
      <w:r w:rsidRPr="005E12E5">
        <w:rPr>
          <w:i/>
          <w:iCs/>
          <w:color w:val="000000" w:themeColor="text1"/>
          <w:sz w:val="22"/>
          <w:szCs w:val="22"/>
          <w:lang w:eastAsia="en-CA"/>
        </w:rPr>
        <w:t>Theoretical Linguistics</w:t>
      </w:r>
      <w:r w:rsidRPr="005E12E5">
        <w:rPr>
          <w:iCs/>
          <w:color w:val="000000" w:themeColor="text1"/>
          <w:sz w:val="22"/>
          <w:szCs w:val="22"/>
          <w:lang w:eastAsia="en-CA"/>
        </w:rPr>
        <w:t>, 33</w:t>
      </w:r>
      <w:r w:rsidRPr="005E12E5">
        <w:rPr>
          <w:color w:val="000000" w:themeColor="text1"/>
          <w:sz w:val="22"/>
          <w:szCs w:val="22"/>
          <w:lang w:eastAsia="en-CA"/>
        </w:rPr>
        <w:t>, 215–221.</w:t>
      </w:r>
    </w:p>
    <w:p w14:paraId="7FAB9A1A" w14:textId="08630CD3" w:rsidR="00433BF4" w:rsidRPr="005E12E5" w:rsidRDefault="00B1083E" w:rsidP="00234ABF">
      <w:pPr>
        <w:jc w:val="both"/>
        <w:rPr>
          <w:sz w:val="22"/>
          <w:szCs w:val="22"/>
        </w:rPr>
      </w:pPr>
      <w:proofErr w:type="spellStart"/>
      <w:r w:rsidRPr="005E12E5">
        <w:rPr>
          <w:sz w:val="22"/>
          <w:szCs w:val="22"/>
        </w:rPr>
        <w:t>Katouzian</w:t>
      </w:r>
      <w:proofErr w:type="spellEnd"/>
      <w:r w:rsidRPr="005E12E5">
        <w:rPr>
          <w:sz w:val="22"/>
          <w:szCs w:val="22"/>
        </w:rPr>
        <w:t xml:space="preserve">, </w:t>
      </w:r>
      <w:r w:rsidR="00433BF4" w:rsidRPr="005E12E5">
        <w:rPr>
          <w:sz w:val="22"/>
          <w:szCs w:val="22"/>
        </w:rPr>
        <w:t>H. (</w:t>
      </w:r>
      <w:r w:rsidRPr="005E12E5">
        <w:rPr>
          <w:sz w:val="22"/>
          <w:szCs w:val="22"/>
        </w:rPr>
        <w:t>201</w:t>
      </w:r>
      <w:r w:rsidR="00433BF4" w:rsidRPr="005E12E5">
        <w:rPr>
          <w:sz w:val="22"/>
          <w:szCs w:val="22"/>
        </w:rPr>
        <w:t xml:space="preserve">3). </w:t>
      </w:r>
      <w:r w:rsidR="00433BF4" w:rsidRPr="005E12E5">
        <w:rPr>
          <w:i/>
          <w:iCs/>
          <w:sz w:val="22"/>
          <w:szCs w:val="22"/>
        </w:rPr>
        <w:t>Iran: Politics, History and Literature</w:t>
      </w:r>
      <w:r w:rsidR="00433BF4" w:rsidRPr="005E12E5">
        <w:rPr>
          <w:sz w:val="22"/>
          <w:szCs w:val="22"/>
        </w:rPr>
        <w:t>. London and New York: Routledge</w:t>
      </w:r>
      <w:r w:rsidR="00612196" w:rsidRPr="005E12E5">
        <w:rPr>
          <w:sz w:val="22"/>
          <w:szCs w:val="22"/>
        </w:rPr>
        <w:t xml:space="preserve">. </w:t>
      </w:r>
    </w:p>
    <w:p w14:paraId="2904191C" w14:textId="77777777" w:rsidR="004752AD" w:rsidRPr="005E12E5" w:rsidRDefault="00B1083E" w:rsidP="00234ABF">
      <w:pPr>
        <w:jc w:val="both"/>
        <w:rPr>
          <w:sz w:val="22"/>
          <w:szCs w:val="22"/>
        </w:rPr>
      </w:pPr>
      <w:proofErr w:type="spellStart"/>
      <w:r w:rsidRPr="005E12E5">
        <w:rPr>
          <w:sz w:val="22"/>
          <w:szCs w:val="22"/>
        </w:rPr>
        <w:t>Katouzian</w:t>
      </w:r>
      <w:proofErr w:type="spellEnd"/>
      <w:r w:rsidRPr="005E12E5">
        <w:rPr>
          <w:sz w:val="22"/>
          <w:szCs w:val="22"/>
        </w:rPr>
        <w:t xml:space="preserve">, </w:t>
      </w:r>
      <w:r w:rsidR="00612196" w:rsidRPr="005E12E5">
        <w:rPr>
          <w:sz w:val="22"/>
          <w:szCs w:val="22"/>
        </w:rPr>
        <w:t>H. (</w:t>
      </w:r>
      <w:r w:rsidRPr="005E12E5">
        <w:rPr>
          <w:sz w:val="22"/>
          <w:szCs w:val="22"/>
        </w:rPr>
        <w:t>2015</w:t>
      </w:r>
      <w:r w:rsidR="00612196" w:rsidRPr="005E12E5">
        <w:rPr>
          <w:sz w:val="22"/>
          <w:szCs w:val="22"/>
        </w:rPr>
        <w:t xml:space="preserve">). “Satire in Persian Literature: 1900-1940,” </w:t>
      </w:r>
      <w:r w:rsidR="000611D6" w:rsidRPr="005E12E5">
        <w:rPr>
          <w:sz w:val="22"/>
          <w:szCs w:val="22"/>
        </w:rPr>
        <w:t>I</w:t>
      </w:r>
      <w:r w:rsidR="00612196" w:rsidRPr="005E12E5">
        <w:rPr>
          <w:sz w:val="22"/>
          <w:szCs w:val="22"/>
        </w:rPr>
        <w:t>n </w:t>
      </w:r>
      <w:r w:rsidR="000611D6" w:rsidRPr="005E12E5">
        <w:rPr>
          <w:sz w:val="22"/>
          <w:szCs w:val="22"/>
        </w:rPr>
        <w:t xml:space="preserve">E. </w:t>
      </w:r>
      <w:proofErr w:type="spellStart"/>
      <w:r w:rsidR="000611D6" w:rsidRPr="005E12E5">
        <w:rPr>
          <w:sz w:val="22"/>
          <w:szCs w:val="22"/>
        </w:rPr>
        <w:t>Yarshater</w:t>
      </w:r>
      <w:proofErr w:type="spellEnd"/>
      <w:r w:rsidR="000611D6" w:rsidRPr="005E12E5">
        <w:rPr>
          <w:sz w:val="22"/>
          <w:szCs w:val="22"/>
        </w:rPr>
        <w:t xml:space="preserve"> &amp; A.A. </w:t>
      </w:r>
      <w:proofErr w:type="spellStart"/>
      <w:r w:rsidR="000611D6" w:rsidRPr="005E12E5">
        <w:rPr>
          <w:sz w:val="22"/>
          <w:szCs w:val="22"/>
        </w:rPr>
        <w:t>Seyed</w:t>
      </w:r>
      <w:proofErr w:type="spellEnd"/>
      <w:r w:rsidR="000611D6" w:rsidRPr="005E12E5">
        <w:rPr>
          <w:sz w:val="22"/>
          <w:szCs w:val="22"/>
        </w:rPr>
        <w:t>-</w:t>
      </w:r>
    </w:p>
    <w:p w14:paraId="57F5A972" w14:textId="6B9AB44F" w:rsidR="00612196" w:rsidRPr="005E12E5" w:rsidRDefault="000611D6" w:rsidP="00234ABF">
      <w:pPr>
        <w:ind w:left="720"/>
        <w:jc w:val="both"/>
        <w:rPr>
          <w:i/>
          <w:iCs/>
          <w:sz w:val="22"/>
          <w:szCs w:val="22"/>
        </w:rPr>
      </w:pPr>
      <w:proofErr w:type="spellStart"/>
      <w:r w:rsidRPr="005E12E5">
        <w:rPr>
          <w:sz w:val="22"/>
          <w:szCs w:val="22"/>
        </w:rPr>
        <w:t>Gohrab</w:t>
      </w:r>
      <w:proofErr w:type="spellEnd"/>
      <w:r w:rsidRPr="005E12E5">
        <w:rPr>
          <w:sz w:val="22"/>
          <w:szCs w:val="22"/>
        </w:rPr>
        <w:t xml:space="preserve"> (Eds). </w:t>
      </w:r>
      <w:r w:rsidR="00D92FC5" w:rsidRPr="005E12E5">
        <w:rPr>
          <w:i/>
          <w:iCs/>
          <w:sz w:val="22"/>
          <w:szCs w:val="22"/>
        </w:rPr>
        <w:t>A History of Persian Literature</w:t>
      </w:r>
      <w:r w:rsidRPr="005E12E5">
        <w:rPr>
          <w:i/>
          <w:iCs/>
          <w:sz w:val="22"/>
          <w:szCs w:val="22"/>
        </w:rPr>
        <w:t xml:space="preserve"> </w:t>
      </w:r>
      <w:r w:rsidR="00D92FC5" w:rsidRPr="005E12E5">
        <w:rPr>
          <w:i/>
          <w:iCs/>
          <w:sz w:val="22"/>
          <w:szCs w:val="22"/>
        </w:rPr>
        <w:t xml:space="preserve">:XI, </w:t>
      </w:r>
      <w:r w:rsidRPr="005E12E5">
        <w:rPr>
          <w:i/>
          <w:iCs/>
          <w:sz w:val="22"/>
          <w:szCs w:val="22"/>
        </w:rPr>
        <w:t>Literature</w:t>
      </w:r>
      <w:r w:rsidR="00D92FC5" w:rsidRPr="005E12E5">
        <w:rPr>
          <w:i/>
          <w:iCs/>
          <w:sz w:val="22"/>
          <w:szCs w:val="22"/>
        </w:rPr>
        <w:t xml:space="preserve"> of the Early Twentieth Century, From </w:t>
      </w:r>
      <w:r w:rsidR="00C93513" w:rsidRPr="005E12E5">
        <w:rPr>
          <w:i/>
          <w:iCs/>
          <w:sz w:val="22"/>
          <w:szCs w:val="22"/>
        </w:rPr>
        <w:t>the Constitutional Period to Reza Shah</w:t>
      </w:r>
      <w:r w:rsidR="00612196" w:rsidRPr="005E12E5">
        <w:rPr>
          <w:sz w:val="22"/>
          <w:szCs w:val="22"/>
        </w:rPr>
        <w:t xml:space="preserve">, </w:t>
      </w:r>
      <w:r w:rsidRPr="005E12E5">
        <w:rPr>
          <w:sz w:val="22"/>
          <w:szCs w:val="22"/>
        </w:rPr>
        <w:t xml:space="preserve">(pp. 161-239). </w:t>
      </w:r>
      <w:r w:rsidR="00612196" w:rsidRPr="005E12E5">
        <w:rPr>
          <w:sz w:val="22"/>
          <w:szCs w:val="22"/>
        </w:rPr>
        <w:t>London and  New York: I. B. Tauris</w:t>
      </w:r>
      <w:r w:rsidRPr="005E12E5">
        <w:rPr>
          <w:sz w:val="22"/>
          <w:szCs w:val="22"/>
        </w:rPr>
        <w:t>.</w:t>
      </w:r>
    </w:p>
    <w:p w14:paraId="1E4B5074" w14:textId="2242D6C0" w:rsidR="00106324" w:rsidRDefault="00B555F9" w:rsidP="00234ABF">
      <w:pPr>
        <w:rPr>
          <w:color w:val="000000" w:themeColor="text1"/>
          <w:sz w:val="22"/>
          <w:szCs w:val="22"/>
          <w:lang w:val="en-US"/>
        </w:rPr>
      </w:pPr>
      <w:r w:rsidRPr="005E12E5">
        <w:rPr>
          <w:color w:val="000000" w:themeColor="text1"/>
          <w:sz w:val="22"/>
          <w:szCs w:val="22"/>
          <w:lang w:val="en-US"/>
        </w:rPr>
        <w:t xml:space="preserve">Ryder, A., Alden, L., &amp; </w:t>
      </w:r>
      <w:proofErr w:type="spellStart"/>
      <w:r w:rsidRPr="005E12E5">
        <w:rPr>
          <w:color w:val="000000" w:themeColor="text1"/>
          <w:sz w:val="22"/>
          <w:szCs w:val="22"/>
          <w:lang w:val="en-US"/>
        </w:rPr>
        <w:t>Paulhus</w:t>
      </w:r>
      <w:proofErr w:type="spellEnd"/>
      <w:r w:rsidRPr="005E12E5">
        <w:rPr>
          <w:color w:val="000000" w:themeColor="text1"/>
          <w:sz w:val="22"/>
          <w:szCs w:val="22"/>
          <w:lang w:val="en-US"/>
        </w:rPr>
        <w:t xml:space="preserve">, D. (2000). Is acculturation unidimensional or bi-dimensional? A head-to-head </w:t>
      </w:r>
    </w:p>
    <w:p w14:paraId="5A79FD0A" w14:textId="62CE5FEC" w:rsidR="00B555F9" w:rsidRPr="005E12E5" w:rsidRDefault="00B555F9" w:rsidP="00106324">
      <w:pPr>
        <w:ind w:left="720"/>
        <w:rPr>
          <w:color w:val="000000" w:themeColor="text1"/>
          <w:sz w:val="22"/>
          <w:szCs w:val="22"/>
          <w:lang w:val="en-US"/>
        </w:rPr>
      </w:pPr>
      <w:r w:rsidRPr="005E12E5">
        <w:rPr>
          <w:color w:val="000000" w:themeColor="text1"/>
          <w:sz w:val="22"/>
          <w:szCs w:val="22"/>
          <w:lang w:val="en-US"/>
        </w:rPr>
        <w:t xml:space="preserve">comparison in the prediction of personality, self-identity, and adjustment. </w:t>
      </w:r>
      <w:r w:rsidRPr="005E12E5">
        <w:rPr>
          <w:i/>
          <w:iCs/>
          <w:color w:val="000000" w:themeColor="text1"/>
          <w:sz w:val="22"/>
          <w:szCs w:val="22"/>
          <w:lang w:val="en-US"/>
        </w:rPr>
        <w:t>Journal of Personality and Social Psychology</w:t>
      </w:r>
      <w:r w:rsidRPr="005E12E5">
        <w:rPr>
          <w:color w:val="000000" w:themeColor="text1"/>
          <w:sz w:val="22"/>
          <w:szCs w:val="22"/>
          <w:lang w:val="en-US"/>
        </w:rPr>
        <w:t xml:space="preserve">, </w:t>
      </w:r>
      <w:r w:rsidRPr="005E12E5">
        <w:rPr>
          <w:i/>
          <w:iCs/>
          <w:color w:val="000000" w:themeColor="text1"/>
          <w:sz w:val="22"/>
          <w:szCs w:val="22"/>
          <w:lang w:val="en-US"/>
        </w:rPr>
        <w:t>79</w:t>
      </w:r>
      <w:r w:rsidRPr="005E12E5">
        <w:rPr>
          <w:color w:val="000000" w:themeColor="text1"/>
          <w:sz w:val="22"/>
          <w:szCs w:val="22"/>
          <w:lang w:val="en-US"/>
        </w:rPr>
        <w:t xml:space="preserve">, 49-65. </w:t>
      </w:r>
    </w:p>
    <w:p w14:paraId="0D82907B" w14:textId="77777777" w:rsidR="00106324" w:rsidRDefault="00E35265" w:rsidP="00234ABF">
      <w:pPr>
        <w:jc w:val="both"/>
        <w:rPr>
          <w:sz w:val="22"/>
          <w:szCs w:val="22"/>
          <w:lang w:val="en-US"/>
        </w:rPr>
      </w:pPr>
      <w:r w:rsidRPr="005E12E5">
        <w:rPr>
          <w:sz w:val="22"/>
          <w:szCs w:val="22"/>
          <w:lang w:val="en-US"/>
        </w:rPr>
        <w:t xml:space="preserve">Shakiba, N. (2003). The Effects of Social Context on the Usage of Taboo Words Among Tehrani </w:t>
      </w:r>
      <w:r w:rsidRPr="005E12E5">
        <w:rPr>
          <w:sz w:val="22"/>
          <w:szCs w:val="22"/>
          <w:lang w:val="en-US"/>
        </w:rPr>
        <w:tab/>
        <w:t>Wome</w:t>
      </w:r>
      <w:r w:rsidR="00106324">
        <w:rPr>
          <w:sz w:val="22"/>
          <w:szCs w:val="22"/>
          <w:lang w:val="en-US"/>
        </w:rPr>
        <w:t xml:space="preserve">n </w:t>
      </w:r>
      <w:r w:rsidRPr="005E12E5">
        <w:rPr>
          <w:sz w:val="22"/>
          <w:szCs w:val="22"/>
          <w:lang w:val="en-US"/>
        </w:rPr>
        <w:t xml:space="preserve">and </w:t>
      </w:r>
    </w:p>
    <w:p w14:paraId="413844E3" w14:textId="6E6542F8" w:rsidR="00E35265" w:rsidRPr="005E12E5" w:rsidRDefault="00E35265" w:rsidP="00106324">
      <w:pPr>
        <w:ind w:firstLine="720"/>
        <w:jc w:val="both"/>
        <w:rPr>
          <w:sz w:val="22"/>
          <w:szCs w:val="22"/>
          <w:lang w:val="en-US"/>
        </w:rPr>
      </w:pPr>
      <w:r w:rsidRPr="005E12E5">
        <w:rPr>
          <w:sz w:val="22"/>
          <w:szCs w:val="22"/>
          <w:lang w:val="en-US"/>
        </w:rPr>
        <w:t>Men (Unpublished Master’s Thesis). Islamic Azad University, Tehran Central, Iran.</w:t>
      </w:r>
    </w:p>
    <w:p w14:paraId="53C48198" w14:textId="77777777" w:rsidR="00623B71" w:rsidRPr="005E12E5" w:rsidRDefault="00E35265" w:rsidP="00234ABF">
      <w:pPr>
        <w:autoSpaceDE w:val="0"/>
        <w:autoSpaceDN w:val="0"/>
        <w:adjustRightInd w:val="0"/>
        <w:rPr>
          <w:sz w:val="22"/>
          <w:szCs w:val="22"/>
        </w:rPr>
      </w:pPr>
      <w:r w:rsidRPr="005E12E5">
        <w:rPr>
          <w:color w:val="000000" w:themeColor="text1"/>
          <w:sz w:val="22"/>
          <w:szCs w:val="22"/>
          <w:lang w:eastAsia="en-CA"/>
        </w:rPr>
        <w:t xml:space="preserve">Shakiba, N. (2019). </w:t>
      </w:r>
      <w:r w:rsidRPr="005E12E5">
        <w:rPr>
          <w:sz w:val="22"/>
          <w:szCs w:val="22"/>
        </w:rPr>
        <w:t xml:space="preserve">The Effects of Socio-biographical Background, Acculturation, and </w:t>
      </w:r>
    </w:p>
    <w:p w14:paraId="531F057C" w14:textId="5CD0DD3E" w:rsidR="00E35265" w:rsidRPr="005E12E5" w:rsidRDefault="00E35265" w:rsidP="00234ABF">
      <w:pPr>
        <w:autoSpaceDE w:val="0"/>
        <w:autoSpaceDN w:val="0"/>
        <w:adjustRightInd w:val="0"/>
        <w:ind w:left="720"/>
        <w:rPr>
          <w:sz w:val="22"/>
          <w:szCs w:val="22"/>
        </w:rPr>
      </w:pPr>
      <w:r w:rsidRPr="005E12E5">
        <w:rPr>
          <w:sz w:val="22"/>
          <w:szCs w:val="22"/>
        </w:rPr>
        <w:t>Personality on Persian Immigrants’ Swearing Behaviour</w:t>
      </w:r>
      <w:r w:rsidR="004344CA" w:rsidRPr="005E12E5">
        <w:rPr>
          <w:sz w:val="22"/>
          <w:szCs w:val="22"/>
        </w:rPr>
        <w:t xml:space="preserve"> (Unpublished PhD Dissertation). Birkbeck, University of London.</w:t>
      </w:r>
    </w:p>
    <w:p w14:paraId="2D76F7A2" w14:textId="77777777" w:rsidR="009E4698" w:rsidRPr="005E12E5" w:rsidRDefault="009E4698" w:rsidP="00234ABF">
      <w:pPr>
        <w:autoSpaceDE w:val="0"/>
        <w:autoSpaceDN w:val="0"/>
        <w:adjustRightInd w:val="0"/>
        <w:rPr>
          <w:i/>
          <w:color w:val="000000" w:themeColor="text1"/>
          <w:sz w:val="22"/>
          <w:szCs w:val="22"/>
          <w:lang w:eastAsia="en-CA"/>
        </w:rPr>
      </w:pPr>
      <w:r w:rsidRPr="005E12E5">
        <w:rPr>
          <w:color w:val="000000" w:themeColor="text1"/>
          <w:sz w:val="22"/>
          <w:szCs w:val="22"/>
          <w:lang w:eastAsia="en-CA"/>
        </w:rPr>
        <w:t xml:space="preserve">Stapleton, K. (2010). Swearing. In M.A. </w:t>
      </w:r>
      <w:proofErr w:type="spellStart"/>
      <w:r w:rsidRPr="005E12E5">
        <w:rPr>
          <w:color w:val="000000" w:themeColor="text1"/>
          <w:sz w:val="22"/>
          <w:szCs w:val="22"/>
          <w:lang w:eastAsia="en-CA"/>
        </w:rPr>
        <w:t>Locher</w:t>
      </w:r>
      <w:proofErr w:type="spellEnd"/>
      <w:r w:rsidRPr="005E12E5">
        <w:rPr>
          <w:color w:val="000000" w:themeColor="text1"/>
          <w:sz w:val="22"/>
          <w:szCs w:val="22"/>
          <w:lang w:eastAsia="en-CA"/>
        </w:rPr>
        <w:t xml:space="preserve"> &amp; S. L. Graham (Eds.), </w:t>
      </w:r>
      <w:r w:rsidRPr="005E12E5">
        <w:rPr>
          <w:i/>
          <w:color w:val="000000" w:themeColor="text1"/>
          <w:sz w:val="22"/>
          <w:szCs w:val="22"/>
          <w:lang w:eastAsia="en-CA"/>
        </w:rPr>
        <w:t xml:space="preserve">Interpersonal </w:t>
      </w:r>
    </w:p>
    <w:p w14:paraId="4806DACB" w14:textId="17051E37" w:rsidR="009E4698" w:rsidRPr="005E12E5" w:rsidRDefault="009E4698" w:rsidP="00234ABF">
      <w:pPr>
        <w:autoSpaceDE w:val="0"/>
        <w:autoSpaceDN w:val="0"/>
        <w:adjustRightInd w:val="0"/>
        <w:ind w:firstLine="720"/>
        <w:rPr>
          <w:color w:val="000000" w:themeColor="text1"/>
          <w:sz w:val="22"/>
          <w:szCs w:val="22"/>
          <w:lang w:eastAsia="en-CA"/>
        </w:rPr>
      </w:pPr>
      <w:r w:rsidRPr="005E12E5">
        <w:rPr>
          <w:i/>
          <w:color w:val="000000" w:themeColor="text1"/>
          <w:sz w:val="22"/>
          <w:szCs w:val="22"/>
          <w:lang w:eastAsia="en-CA"/>
        </w:rPr>
        <w:t>Pragmatics</w:t>
      </w:r>
      <w:r w:rsidRPr="005E12E5">
        <w:rPr>
          <w:color w:val="000000" w:themeColor="text1"/>
          <w:sz w:val="22"/>
          <w:szCs w:val="22"/>
          <w:lang w:eastAsia="en-CA"/>
        </w:rPr>
        <w:t xml:space="preserve"> (pp. 289-306). Berlin: Mouton.</w:t>
      </w:r>
    </w:p>
    <w:p w14:paraId="3A64D7C2" w14:textId="77777777" w:rsidR="009E4698" w:rsidRPr="005E12E5" w:rsidRDefault="009E4698" w:rsidP="00234ABF">
      <w:pPr>
        <w:autoSpaceDE w:val="0"/>
        <w:autoSpaceDN w:val="0"/>
        <w:adjustRightInd w:val="0"/>
        <w:rPr>
          <w:color w:val="000000" w:themeColor="text1"/>
          <w:sz w:val="22"/>
          <w:szCs w:val="22"/>
          <w:lang w:eastAsia="en-CA"/>
        </w:rPr>
      </w:pPr>
    </w:p>
    <w:p w14:paraId="642F4140" w14:textId="77777777" w:rsidR="009E4698" w:rsidRPr="005E12E5" w:rsidRDefault="009E4698" w:rsidP="00234ABF">
      <w:pPr>
        <w:jc w:val="both"/>
        <w:rPr>
          <w:sz w:val="22"/>
          <w:szCs w:val="22"/>
        </w:rPr>
      </w:pPr>
    </w:p>
    <w:sectPr w:rsidR="009E4698" w:rsidRPr="005E12E5" w:rsidSect="004E4C1D">
      <w:headerReference w:type="even" r:id="rId8"/>
      <w:headerReference w:type="default" r:id="rId9"/>
      <w:footerReference w:type="default" r:id="rId10"/>
      <w:pgSz w:w="12240" w:h="15840"/>
      <w:pgMar w:top="1080" w:right="1080" w:bottom="1080" w:left="108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78CB" w14:textId="77777777" w:rsidR="00946035" w:rsidRDefault="00946035" w:rsidP="00402713">
      <w:r>
        <w:separator/>
      </w:r>
    </w:p>
  </w:endnote>
  <w:endnote w:type="continuationSeparator" w:id="0">
    <w:p w14:paraId="1698793C" w14:textId="77777777" w:rsidR="00946035" w:rsidRDefault="00946035" w:rsidP="0040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ExternalUIFontArabicText-R">
    <w:altName w:val="Arial"/>
    <w:panose1 w:val="020B0604020202020204"/>
    <w:charset w:val="B2"/>
    <w:family w:val="auto"/>
    <w:pitch w:val="default"/>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87691"/>
      <w:docPartObj>
        <w:docPartGallery w:val="Page Numbers (Bottom of Page)"/>
        <w:docPartUnique/>
      </w:docPartObj>
    </w:sdtPr>
    <w:sdtEndPr>
      <w:rPr>
        <w:noProof/>
      </w:rPr>
    </w:sdtEndPr>
    <w:sdtContent>
      <w:p w14:paraId="0B13CD68" w14:textId="69074771" w:rsidR="004E4C1D" w:rsidRDefault="004E4C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486BC2" w14:textId="77777777" w:rsidR="004E4C1D" w:rsidRDefault="004E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3E07" w14:textId="77777777" w:rsidR="00946035" w:rsidRDefault="00946035" w:rsidP="00402713">
      <w:r>
        <w:separator/>
      </w:r>
    </w:p>
  </w:footnote>
  <w:footnote w:type="continuationSeparator" w:id="0">
    <w:p w14:paraId="6D5B9AF6" w14:textId="77777777" w:rsidR="00946035" w:rsidRDefault="00946035" w:rsidP="00402713">
      <w:r>
        <w:continuationSeparator/>
      </w:r>
    </w:p>
  </w:footnote>
  <w:footnote w:id="1">
    <w:p w14:paraId="5CAE7041" w14:textId="6B6B4817" w:rsidR="00015DC2" w:rsidRDefault="00015DC2">
      <w:pPr>
        <w:pStyle w:val="FootnoteText"/>
      </w:pPr>
      <w:r>
        <w:rPr>
          <w:rStyle w:val="FootnoteReference"/>
        </w:rPr>
        <w:footnoteRef/>
      </w:r>
      <w:r>
        <w:t xml:space="preserve"> </w:t>
      </w:r>
      <w:r w:rsidR="0094530C">
        <w:t>“</w:t>
      </w:r>
      <w:proofErr w:type="spellStart"/>
      <w:r w:rsidR="006B3F3D">
        <w:t>bazare</w:t>
      </w:r>
      <w:proofErr w:type="spellEnd"/>
      <w:r w:rsidR="006B3F3D">
        <w:t xml:space="preserve"> Tehran </w:t>
      </w:r>
      <w:proofErr w:type="spellStart"/>
      <w:r w:rsidR="006B3F3D">
        <w:t>az</w:t>
      </w:r>
      <w:proofErr w:type="spellEnd"/>
      <w:r w:rsidR="006B3F3D">
        <w:t xml:space="preserve"> </w:t>
      </w:r>
      <w:proofErr w:type="spellStart"/>
      <w:r w:rsidR="006B3F3D">
        <w:t>dirooz</w:t>
      </w:r>
      <w:proofErr w:type="spellEnd"/>
      <w:r w:rsidR="00000BE1">
        <w:t>”</w:t>
      </w:r>
      <w:r w:rsidR="006817A1">
        <w:t>(Tehran’s bazar since yesterday)</w:t>
      </w:r>
      <w:r w:rsidR="00000BE1">
        <w:t>.</w:t>
      </w:r>
      <w:r w:rsidR="00921D5E">
        <w:t xml:space="preserve"> </w:t>
      </w:r>
      <w:r w:rsidR="00A42E18">
        <w:rPr>
          <w:lang w:val="en-US"/>
        </w:rPr>
        <w:t>(</w:t>
      </w:r>
      <w:r w:rsidRPr="00015DC2">
        <w:rPr>
          <w:lang w:val="en-US"/>
        </w:rPr>
        <w:t>1951</w:t>
      </w:r>
      <w:r w:rsidR="00FF0895">
        <w:rPr>
          <w:lang w:val="en-US"/>
        </w:rPr>
        <w:t>, January 26</w:t>
      </w:r>
      <w:r w:rsidR="00A42E18">
        <w:rPr>
          <w:lang w:val="en-US"/>
        </w:rPr>
        <w:t xml:space="preserve">), </w:t>
      </w:r>
      <w:r w:rsidR="00A42E18" w:rsidRPr="00015DC2">
        <w:rPr>
          <w:lang w:val="en-US"/>
        </w:rPr>
        <w:t>(1330</w:t>
      </w:r>
      <w:r w:rsidR="00FF0895">
        <w:rPr>
          <w:lang w:val="en-US"/>
        </w:rPr>
        <w:t>, Bahman 6</w:t>
      </w:r>
      <w:r w:rsidR="00A42E18" w:rsidRPr="00015DC2">
        <w:rPr>
          <w:lang w:val="en-US"/>
        </w:rPr>
        <w:t>)</w:t>
      </w:r>
      <w:r w:rsidR="00921D5E">
        <w:rPr>
          <w:lang w:val="en-US"/>
        </w:rPr>
        <w:t xml:space="preserve">. </w:t>
      </w:r>
      <w:r w:rsidR="00921D5E" w:rsidRPr="0094530C">
        <w:rPr>
          <w:i/>
          <w:iCs/>
          <w:lang w:val="en-US"/>
        </w:rPr>
        <w:t>Atash</w:t>
      </w:r>
      <w:r w:rsidR="00921D5E" w:rsidRPr="00015DC2">
        <w:rPr>
          <w:lang w:val="en-US"/>
        </w:rPr>
        <w:t>,</w:t>
      </w:r>
      <w:r w:rsidRPr="00015DC2">
        <w:rPr>
          <w:lang w:val="en-US"/>
        </w:rPr>
        <w:t xml:space="preserve"> 1132</w:t>
      </w:r>
      <w:r w:rsidR="00BC0CC1">
        <w:rPr>
          <w:lang w:val="en-US"/>
        </w:rPr>
        <w:t xml:space="preserve"> (5)</w:t>
      </w:r>
      <w:r w:rsidRPr="00015DC2">
        <w:rPr>
          <w:lang w:val="en-US"/>
        </w:rPr>
        <w:t>, 4</w:t>
      </w:r>
      <w:r w:rsidR="00A42E18">
        <w:rPr>
          <w:lang w:val="en-US"/>
        </w:rPr>
        <w:t>.</w:t>
      </w:r>
    </w:p>
  </w:footnote>
  <w:footnote w:id="2">
    <w:p w14:paraId="3AF75675" w14:textId="0449524D" w:rsidR="00015DC2" w:rsidRDefault="00015DC2">
      <w:pPr>
        <w:pStyle w:val="FootnoteText"/>
      </w:pPr>
      <w:r>
        <w:rPr>
          <w:rStyle w:val="FootnoteReference"/>
        </w:rPr>
        <w:footnoteRef/>
      </w:r>
      <w:r>
        <w:t xml:space="preserve"> </w:t>
      </w:r>
      <w:proofErr w:type="spellStart"/>
      <w:r w:rsidR="00CF455F">
        <w:t>Sheikhani</w:t>
      </w:r>
      <w:proofErr w:type="spellEnd"/>
      <w:r w:rsidR="00CF455F">
        <w:t>, Gh</w:t>
      </w:r>
      <w:r w:rsidR="00581EC4">
        <w:t>.</w:t>
      </w:r>
      <w:r w:rsidRPr="00015DC2">
        <w:rPr>
          <w:lang w:val="en-US"/>
        </w:rPr>
        <w:t xml:space="preserve"> </w:t>
      </w:r>
      <w:r w:rsidR="00A42E18">
        <w:rPr>
          <w:lang w:val="en-US"/>
        </w:rPr>
        <w:t>(</w:t>
      </w:r>
      <w:r w:rsidRPr="00015DC2">
        <w:rPr>
          <w:lang w:val="en-US"/>
        </w:rPr>
        <w:t>1952</w:t>
      </w:r>
      <w:r w:rsidR="00FF0895">
        <w:rPr>
          <w:lang w:val="en-US"/>
        </w:rPr>
        <w:t>, July 14</w:t>
      </w:r>
      <w:r w:rsidR="00A42E18">
        <w:rPr>
          <w:lang w:val="en-US"/>
        </w:rPr>
        <w:t>)</w:t>
      </w:r>
      <w:r w:rsidRPr="00015DC2">
        <w:rPr>
          <w:lang w:val="en-US"/>
        </w:rPr>
        <w:t xml:space="preserve">, </w:t>
      </w:r>
      <w:r w:rsidR="00A42E18" w:rsidRPr="00015DC2">
        <w:rPr>
          <w:lang w:val="en-US"/>
        </w:rPr>
        <w:t>(1331</w:t>
      </w:r>
      <w:r w:rsidR="00FF0895">
        <w:rPr>
          <w:lang w:val="en-US"/>
        </w:rPr>
        <w:t xml:space="preserve">, </w:t>
      </w:r>
      <w:proofErr w:type="spellStart"/>
      <w:r w:rsidR="00FF0895">
        <w:rPr>
          <w:lang w:val="en-US"/>
        </w:rPr>
        <w:t>Tir</w:t>
      </w:r>
      <w:proofErr w:type="spellEnd"/>
      <w:r w:rsidR="00FF0895">
        <w:rPr>
          <w:lang w:val="en-US"/>
        </w:rPr>
        <w:t xml:space="preserve"> 23</w:t>
      </w:r>
      <w:r w:rsidR="00A42E18" w:rsidRPr="00015DC2">
        <w:rPr>
          <w:lang w:val="en-US"/>
        </w:rPr>
        <w:t>)</w:t>
      </w:r>
      <w:r w:rsidR="00921D5E">
        <w:rPr>
          <w:lang w:val="en-US"/>
        </w:rPr>
        <w:t xml:space="preserve">. </w:t>
      </w:r>
      <w:r w:rsidR="00581EC4">
        <w:rPr>
          <w:lang w:val="en-US"/>
        </w:rPr>
        <w:t>“</w:t>
      </w:r>
      <w:proofErr w:type="spellStart"/>
      <w:r w:rsidR="00581EC4">
        <w:rPr>
          <w:lang w:val="en-US"/>
        </w:rPr>
        <w:t>dardo</w:t>
      </w:r>
      <w:proofErr w:type="spellEnd"/>
      <w:r w:rsidR="00581EC4">
        <w:rPr>
          <w:lang w:val="en-US"/>
        </w:rPr>
        <w:t xml:space="preserve"> dele </w:t>
      </w:r>
      <w:proofErr w:type="spellStart"/>
      <w:r w:rsidR="00581EC4">
        <w:rPr>
          <w:lang w:val="en-US"/>
        </w:rPr>
        <w:t>saat</w:t>
      </w:r>
      <w:proofErr w:type="spellEnd"/>
      <w:r w:rsidR="00581EC4">
        <w:rPr>
          <w:lang w:val="en-US"/>
        </w:rPr>
        <w:t>”</w:t>
      </w:r>
      <w:r w:rsidR="006817A1">
        <w:rPr>
          <w:lang w:val="en-US"/>
        </w:rPr>
        <w:t>(</w:t>
      </w:r>
      <w:r w:rsidR="00F00D5D">
        <w:rPr>
          <w:lang w:val="en-US"/>
        </w:rPr>
        <w:t>P</w:t>
      </w:r>
      <w:r w:rsidR="006817A1">
        <w:rPr>
          <w:lang w:val="en-US"/>
        </w:rPr>
        <w:t>ouring out the clock’s heart)</w:t>
      </w:r>
      <w:r w:rsidR="00581EC4">
        <w:rPr>
          <w:lang w:val="en-US"/>
        </w:rPr>
        <w:t>.</w:t>
      </w:r>
      <w:r w:rsidR="00A42E18">
        <w:rPr>
          <w:lang w:val="en-US"/>
        </w:rPr>
        <w:t xml:space="preserve"> </w:t>
      </w:r>
      <w:proofErr w:type="spellStart"/>
      <w:r w:rsidR="00921D5E" w:rsidRPr="00921D5E">
        <w:rPr>
          <w:i/>
          <w:iCs/>
          <w:lang w:val="en-US"/>
        </w:rPr>
        <w:t>Hamleh</w:t>
      </w:r>
      <w:proofErr w:type="spellEnd"/>
      <w:r w:rsidR="00921D5E">
        <w:rPr>
          <w:lang w:val="en-US"/>
        </w:rPr>
        <w:t xml:space="preserve">, </w:t>
      </w:r>
      <w:r w:rsidR="00581EC4">
        <w:rPr>
          <w:lang w:val="en-US"/>
        </w:rPr>
        <w:t>30</w:t>
      </w:r>
      <w:r w:rsidR="00BC0CC1">
        <w:rPr>
          <w:lang w:val="en-US"/>
        </w:rPr>
        <w:t xml:space="preserve"> (2)</w:t>
      </w:r>
      <w:r w:rsidRPr="00015DC2">
        <w:rPr>
          <w:lang w:val="en-US"/>
        </w:rPr>
        <w:t>, 4</w:t>
      </w:r>
      <w:r w:rsidR="00A42E18">
        <w:rPr>
          <w:lang w:val="en-US"/>
        </w:rPr>
        <w:t>.</w:t>
      </w:r>
    </w:p>
  </w:footnote>
  <w:footnote w:id="3">
    <w:p w14:paraId="6A55D995" w14:textId="430EEAA3" w:rsidR="00015DC2" w:rsidRPr="007D1756" w:rsidRDefault="00015DC2">
      <w:pPr>
        <w:pStyle w:val="FootnoteText"/>
        <w:rPr>
          <w:lang w:val="en-US"/>
        </w:rPr>
      </w:pPr>
      <w:r>
        <w:rPr>
          <w:rStyle w:val="FootnoteReference"/>
        </w:rPr>
        <w:footnoteRef/>
      </w:r>
      <w:r>
        <w:t xml:space="preserve"> </w:t>
      </w:r>
      <w:r w:rsidRPr="00015DC2">
        <w:rPr>
          <w:lang w:val="en-US"/>
        </w:rPr>
        <w:t>“</w:t>
      </w:r>
      <w:proofErr w:type="spellStart"/>
      <w:r w:rsidR="00000BE1">
        <w:t>dokane</w:t>
      </w:r>
      <w:proofErr w:type="spellEnd"/>
      <w:r w:rsidR="00000BE1">
        <w:t xml:space="preserve"> </w:t>
      </w:r>
      <w:proofErr w:type="spellStart"/>
      <w:r w:rsidR="00000BE1">
        <w:t>nanvayee</w:t>
      </w:r>
      <w:proofErr w:type="spellEnd"/>
      <w:r w:rsidR="00000BE1">
        <w:t xml:space="preserve"> </w:t>
      </w:r>
      <w:proofErr w:type="spellStart"/>
      <w:r w:rsidR="00000BE1">
        <w:t>timsar</w:t>
      </w:r>
      <w:proofErr w:type="spellEnd"/>
      <w:r w:rsidRPr="00015DC2">
        <w:rPr>
          <w:lang w:val="en-US"/>
        </w:rPr>
        <w:t>”</w:t>
      </w:r>
      <w:r w:rsidR="006817A1">
        <w:rPr>
          <w:lang w:val="en-US"/>
        </w:rPr>
        <w:t>(</w:t>
      </w:r>
      <w:r w:rsidR="00F00D5D">
        <w:rPr>
          <w:lang w:val="en-US"/>
        </w:rPr>
        <w:t>G</w:t>
      </w:r>
      <w:r w:rsidR="006817A1">
        <w:rPr>
          <w:lang w:val="en-US"/>
        </w:rPr>
        <w:t>eneral’s bakeshop)</w:t>
      </w:r>
      <w:r w:rsidR="00000BE1">
        <w:rPr>
          <w:lang w:val="en-US"/>
        </w:rPr>
        <w:t>.</w:t>
      </w:r>
      <w:r w:rsidRPr="00015DC2">
        <w:rPr>
          <w:lang w:val="en-US"/>
        </w:rPr>
        <w:t xml:space="preserve"> </w:t>
      </w:r>
      <w:r w:rsidR="00A42E18">
        <w:rPr>
          <w:lang w:val="en-US"/>
        </w:rPr>
        <w:t>(1</w:t>
      </w:r>
      <w:r w:rsidRPr="00015DC2">
        <w:rPr>
          <w:lang w:val="en-US"/>
        </w:rPr>
        <w:t>950</w:t>
      </w:r>
      <w:r w:rsidR="00FF0895">
        <w:rPr>
          <w:lang w:val="en-US"/>
        </w:rPr>
        <w:t>, October 3</w:t>
      </w:r>
      <w:r w:rsidR="00A42E18">
        <w:rPr>
          <w:lang w:val="en-US"/>
        </w:rPr>
        <w:t>)</w:t>
      </w:r>
      <w:r w:rsidRPr="00015DC2">
        <w:rPr>
          <w:lang w:val="en-US"/>
        </w:rPr>
        <w:t xml:space="preserve">, </w:t>
      </w:r>
      <w:r w:rsidR="007D1756">
        <w:rPr>
          <w:lang w:val="en-US"/>
        </w:rPr>
        <w:t>(</w:t>
      </w:r>
      <w:r w:rsidR="007D1756" w:rsidRPr="00015DC2">
        <w:rPr>
          <w:lang w:val="en-US"/>
        </w:rPr>
        <w:t>1329</w:t>
      </w:r>
      <w:r w:rsidR="00FF0895">
        <w:rPr>
          <w:lang w:val="en-US"/>
        </w:rPr>
        <w:t xml:space="preserve">, </w:t>
      </w:r>
      <w:proofErr w:type="spellStart"/>
      <w:r w:rsidR="00FF0895">
        <w:rPr>
          <w:lang w:val="en-US"/>
        </w:rPr>
        <w:t>Mehr</w:t>
      </w:r>
      <w:proofErr w:type="spellEnd"/>
      <w:r w:rsidR="00FF0895">
        <w:rPr>
          <w:lang w:val="en-US"/>
        </w:rPr>
        <w:t xml:space="preserve"> 11</w:t>
      </w:r>
      <w:r w:rsidR="007D1756" w:rsidRPr="00015DC2">
        <w:rPr>
          <w:lang w:val="en-US"/>
        </w:rPr>
        <w:t>)</w:t>
      </w:r>
      <w:r w:rsidR="00921D5E">
        <w:rPr>
          <w:lang w:val="en-US"/>
        </w:rPr>
        <w:t>.</w:t>
      </w:r>
      <w:r w:rsidR="007D1756">
        <w:rPr>
          <w:lang w:val="en-US"/>
        </w:rPr>
        <w:t xml:space="preserve"> </w:t>
      </w:r>
      <w:r w:rsidR="00921D5E" w:rsidRPr="00921D5E">
        <w:rPr>
          <w:i/>
          <w:iCs/>
          <w:lang w:val="en-US"/>
        </w:rPr>
        <w:t>Atash</w:t>
      </w:r>
      <w:r w:rsidR="00921D5E">
        <w:rPr>
          <w:lang w:val="en-US"/>
        </w:rPr>
        <w:t>,</w:t>
      </w:r>
      <w:r w:rsidR="00BC0CC1">
        <w:rPr>
          <w:lang w:val="en-US"/>
        </w:rPr>
        <w:t xml:space="preserve"> </w:t>
      </w:r>
      <w:r w:rsidRPr="00015DC2">
        <w:rPr>
          <w:lang w:val="en-US"/>
        </w:rPr>
        <w:t>1</w:t>
      </w:r>
      <w:r w:rsidR="00BC0CC1">
        <w:rPr>
          <w:lang w:val="en-US"/>
        </w:rPr>
        <w:t xml:space="preserve"> (1)</w:t>
      </w:r>
      <w:r w:rsidRPr="00015DC2">
        <w:rPr>
          <w:lang w:val="en-US"/>
        </w:rPr>
        <w:t>, 4</w:t>
      </w:r>
      <w:r w:rsidR="007D1756">
        <w:rPr>
          <w:lang w:val="en-US"/>
        </w:rPr>
        <w:t>.</w:t>
      </w:r>
    </w:p>
  </w:footnote>
  <w:footnote w:id="4">
    <w:p w14:paraId="70629D21" w14:textId="6B2A0E6A" w:rsidR="00E13AF2" w:rsidRDefault="00E13AF2">
      <w:pPr>
        <w:pStyle w:val="FootnoteText"/>
      </w:pPr>
      <w:r>
        <w:rPr>
          <w:rStyle w:val="FootnoteReference"/>
        </w:rPr>
        <w:footnoteRef/>
      </w:r>
      <w:r>
        <w:t xml:space="preserve"> “</w:t>
      </w:r>
      <w:proofErr w:type="spellStart"/>
      <w:r w:rsidR="006A7FAF">
        <w:t>konferanse</w:t>
      </w:r>
      <w:proofErr w:type="spellEnd"/>
      <w:r w:rsidR="006A7FAF">
        <w:t xml:space="preserve"> </w:t>
      </w:r>
      <w:proofErr w:type="spellStart"/>
      <w:r w:rsidR="006A7FAF">
        <w:t>keshvarhaye</w:t>
      </w:r>
      <w:proofErr w:type="spellEnd"/>
      <w:r w:rsidR="006A7FAF">
        <w:t xml:space="preserve"> </w:t>
      </w:r>
      <w:proofErr w:type="spellStart"/>
      <w:r w:rsidR="006A7FAF">
        <w:t>moshtarak</w:t>
      </w:r>
      <w:proofErr w:type="spellEnd"/>
      <w:r w:rsidR="006A7FAF">
        <w:t xml:space="preserve">: </w:t>
      </w:r>
      <w:proofErr w:type="spellStart"/>
      <w:r w:rsidR="006A7FAF">
        <w:t>engelestan</w:t>
      </w:r>
      <w:proofErr w:type="spellEnd"/>
      <w:r w:rsidR="006A7FAF">
        <w:t xml:space="preserve"> </w:t>
      </w:r>
      <w:proofErr w:type="spellStart"/>
      <w:r w:rsidR="006A7FAF">
        <w:t>che</w:t>
      </w:r>
      <w:proofErr w:type="spellEnd"/>
      <w:r w:rsidR="006A7FAF">
        <w:t xml:space="preserve"> </w:t>
      </w:r>
      <w:proofErr w:type="spellStart"/>
      <w:r w:rsidR="006A7FAF">
        <w:t>tasmim</w:t>
      </w:r>
      <w:r w:rsidR="00DB06A9">
        <w:t>a</w:t>
      </w:r>
      <w:r w:rsidR="006A7FAF">
        <w:t>ati</w:t>
      </w:r>
      <w:proofErr w:type="spellEnd"/>
      <w:r w:rsidR="006A7FAF">
        <w:t xml:space="preserve"> </w:t>
      </w:r>
      <w:proofErr w:type="spellStart"/>
      <w:r w:rsidR="006A7FAF">
        <w:t>etekhaz</w:t>
      </w:r>
      <w:proofErr w:type="spellEnd"/>
      <w:r w:rsidR="006A7FAF">
        <w:t xml:space="preserve"> </w:t>
      </w:r>
      <w:proofErr w:type="spellStart"/>
      <w:r w:rsidR="006A7FAF">
        <w:t>khahad</w:t>
      </w:r>
      <w:proofErr w:type="spellEnd"/>
      <w:r w:rsidR="006A7FAF">
        <w:t xml:space="preserve"> </w:t>
      </w:r>
      <w:proofErr w:type="spellStart"/>
      <w:r w:rsidR="006A7FAF">
        <w:t>kard</w:t>
      </w:r>
      <w:proofErr w:type="spellEnd"/>
      <w:r w:rsidR="00DB06A9">
        <w:t>?</w:t>
      </w:r>
      <w:r>
        <w:t>”</w:t>
      </w:r>
      <w:r w:rsidR="00F00D5D">
        <w:t xml:space="preserve"> (Commonwealth of nations’ conference: what decision England </w:t>
      </w:r>
      <w:r w:rsidR="00AD5248">
        <w:t xml:space="preserve">will </w:t>
      </w:r>
      <w:r w:rsidR="00F00D5D">
        <w:t>take?)</w:t>
      </w:r>
      <w:r w:rsidR="00000BE1">
        <w:t>.</w:t>
      </w:r>
      <w:r>
        <w:t xml:space="preserve"> </w:t>
      </w:r>
      <w:r w:rsidR="00A42E18">
        <w:t>(</w:t>
      </w:r>
      <w:r>
        <w:t>1950</w:t>
      </w:r>
      <w:r w:rsidR="00FF0895">
        <w:t>, January 8</w:t>
      </w:r>
      <w:r w:rsidR="00A42E18">
        <w:t>)</w:t>
      </w:r>
      <w:r>
        <w:t xml:space="preserve">, </w:t>
      </w:r>
      <w:r w:rsidR="007D1756">
        <w:t>(1329</w:t>
      </w:r>
      <w:r w:rsidR="00FF0895">
        <w:t>, Dey 18</w:t>
      </w:r>
      <w:r w:rsidR="007D1756">
        <w:t>)</w:t>
      </w:r>
      <w:r w:rsidR="00921D5E">
        <w:t xml:space="preserve">. </w:t>
      </w:r>
      <w:proofErr w:type="spellStart"/>
      <w:r w:rsidR="00921D5E" w:rsidRPr="00921D5E">
        <w:rPr>
          <w:i/>
          <w:iCs/>
        </w:rPr>
        <w:t>Hamleh</w:t>
      </w:r>
      <w:proofErr w:type="spellEnd"/>
      <w:r w:rsidR="00921D5E">
        <w:t>,</w:t>
      </w:r>
      <w:r w:rsidR="007D1756">
        <w:t xml:space="preserve"> </w:t>
      </w:r>
      <w:r>
        <w:t>8</w:t>
      </w:r>
      <w:r w:rsidR="00BC0CC1">
        <w:t xml:space="preserve"> (1)</w:t>
      </w:r>
      <w:r>
        <w:t>, 2</w:t>
      </w:r>
      <w:r w:rsidR="007D1756">
        <w:t>.</w:t>
      </w:r>
    </w:p>
  </w:footnote>
  <w:footnote w:id="5">
    <w:p w14:paraId="2525BABD" w14:textId="00CEAAFF" w:rsidR="007E6018" w:rsidRDefault="007E6018">
      <w:pPr>
        <w:pStyle w:val="FootnoteText"/>
      </w:pPr>
      <w:r>
        <w:rPr>
          <w:rStyle w:val="FootnoteReference"/>
        </w:rPr>
        <w:footnoteRef/>
      </w:r>
      <w:r>
        <w:t xml:space="preserve"> “</w:t>
      </w:r>
      <w:proofErr w:type="spellStart"/>
      <w:r w:rsidR="00000BE1">
        <w:t>khiyanate</w:t>
      </w:r>
      <w:proofErr w:type="spellEnd"/>
      <w:r w:rsidR="00000BE1">
        <w:t xml:space="preserve"> </w:t>
      </w:r>
      <w:proofErr w:type="spellStart"/>
      <w:r w:rsidR="00000BE1">
        <w:t>heiate</w:t>
      </w:r>
      <w:proofErr w:type="spellEnd"/>
      <w:r w:rsidR="00000BE1">
        <w:t xml:space="preserve"> </w:t>
      </w:r>
      <w:proofErr w:type="spellStart"/>
      <w:r w:rsidR="00000BE1">
        <w:t>hakeme</w:t>
      </w:r>
      <w:proofErr w:type="spellEnd"/>
      <w:r w:rsidR="00000BE1">
        <w:t xml:space="preserve"> be </w:t>
      </w:r>
      <w:proofErr w:type="spellStart"/>
      <w:r w:rsidR="00000BE1">
        <w:t>majles</w:t>
      </w:r>
      <w:proofErr w:type="spellEnd"/>
      <w:r>
        <w:t>”</w:t>
      </w:r>
      <w:r w:rsidR="00F00D5D">
        <w:t>(Betrayal of the ruling body to the parliament)</w:t>
      </w:r>
      <w:r w:rsidR="00000BE1">
        <w:t>.</w:t>
      </w:r>
      <w:r>
        <w:t xml:space="preserve"> </w:t>
      </w:r>
      <w:r w:rsidR="007D1756">
        <w:t>(</w:t>
      </w:r>
      <w:r>
        <w:t>1951</w:t>
      </w:r>
      <w:r w:rsidR="00FF0895">
        <w:t>, February 3</w:t>
      </w:r>
      <w:r w:rsidR="007D1756">
        <w:t>)</w:t>
      </w:r>
      <w:r>
        <w:t xml:space="preserve">, </w:t>
      </w:r>
      <w:r w:rsidR="007D1756">
        <w:t>(1330</w:t>
      </w:r>
      <w:r w:rsidR="00FF0895">
        <w:t>, Bahman 14</w:t>
      </w:r>
      <w:r w:rsidR="007D1756">
        <w:t>)</w:t>
      </w:r>
      <w:r w:rsidR="00921D5E">
        <w:t xml:space="preserve">. </w:t>
      </w:r>
      <w:r w:rsidR="00921D5E" w:rsidRPr="00921D5E">
        <w:rPr>
          <w:i/>
          <w:iCs/>
        </w:rPr>
        <w:t>Atash</w:t>
      </w:r>
      <w:r w:rsidR="00921D5E">
        <w:t>,</w:t>
      </w:r>
      <w:r w:rsidR="007D1756">
        <w:t xml:space="preserve"> </w:t>
      </w:r>
      <w:r>
        <w:t>1139</w:t>
      </w:r>
      <w:r w:rsidR="00BC0CC1">
        <w:t xml:space="preserve"> (5)</w:t>
      </w:r>
      <w:r>
        <w:t>, 4</w:t>
      </w:r>
      <w:r w:rsidR="007D1756">
        <w:t>.</w:t>
      </w:r>
    </w:p>
  </w:footnote>
  <w:footnote w:id="6">
    <w:p w14:paraId="16516D3C" w14:textId="22C4004B" w:rsidR="007E6018" w:rsidRDefault="007E6018">
      <w:pPr>
        <w:pStyle w:val="FootnoteText"/>
      </w:pPr>
      <w:r>
        <w:rPr>
          <w:rStyle w:val="FootnoteReference"/>
        </w:rPr>
        <w:footnoteRef/>
      </w:r>
      <w:r>
        <w:t xml:space="preserve"> “</w:t>
      </w:r>
      <w:r w:rsidR="00F974B0">
        <w:t xml:space="preserve">man </w:t>
      </w:r>
      <w:proofErr w:type="spellStart"/>
      <w:r w:rsidR="00F974B0">
        <w:t>dar</w:t>
      </w:r>
      <w:proofErr w:type="spellEnd"/>
      <w:r w:rsidR="00F974B0">
        <w:t xml:space="preserve"> </w:t>
      </w:r>
      <w:proofErr w:type="spellStart"/>
      <w:r w:rsidR="00F974B0">
        <w:t>rooze</w:t>
      </w:r>
      <w:proofErr w:type="spellEnd"/>
      <w:r w:rsidR="00F974B0">
        <w:t xml:space="preserve"> 14 azar</w:t>
      </w:r>
      <w:r>
        <w:t>”</w:t>
      </w:r>
      <w:r w:rsidR="00F00D5D">
        <w:t xml:space="preserve"> (Me i</w:t>
      </w:r>
      <w:r w:rsidR="00654A22">
        <w:t>n</w:t>
      </w:r>
      <w:r w:rsidR="00F00D5D">
        <w:t xml:space="preserve"> </w:t>
      </w:r>
      <w:r w:rsidR="00654A22">
        <w:t>December 5</w:t>
      </w:r>
      <w:r w:rsidR="00654A22" w:rsidRPr="00654A22">
        <w:rPr>
          <w:vertAlign w:val="superscript"/>
        </w:rPr>
        <w:t>th</w:t>
      </w:r>
      <w:r w:rsidR="00654A22">
        <w:t>)</w:t>
      </w:r>
      <w:r w:rsidR="00000BE1">
        <w:t>.</w:t>
      </w:r>
      <w:r>
        <w:t xml:space="preserve"> </w:t>
      </w:r>
      <w:r w:rsidR="007D1756">
        <w:t>(</w:t>
      </w:r>
      <w:r>
        <w:t>1951</w:t>
      </w:r>
      <w:r w:rsidR="00FF0895">
        <w:t>, December 18</w:t>
      </w:r>
      <w:r w:rsidR="007D1756">
        <w:t>), (1330</w:t>
      </w:r>
      <w:r w:rsidR="00FF0895">
        <w:t>, Azar 27</w:t>
      </w:r>
      <w:r w:rsidR="007D1756">
        <w:t>)</w:t>
      </w:r>
      <w:r w:rsidR="00921D5E">
        <w:t xml:space="preserve">. </w:t>
      </w:r>
      <w:r w:rsidR="00921D5E" w:rsidRPr="00921D5E">
        <w:rPr>
          <w:i/>
          <w:iCs/>
        </w:rPr>
        <w:t>Atash</w:t>
      </w:r>
      <w:r w:rsidR="00921D5E">
        <w:t>,</w:t>
      </w:r>
      <w:r w:rsidR="00BC0CC1">
        <w:t xml:space="preserve"> </w:t>
      </w:r>
      <w:r>
        <w:t>1100</w:t>
      </w:r>
      <w:r w:rsidR="00BC0CC1">
        <w:t xml:space="preserve"> (5)</w:t>
      </w:r>
      <w:r>
        <w:t>, 4</w:t>
      </w:r>
      <w:r w:rsidR="00655FD4">
        <w:t>.</w:t>
      </w:r>
    </w:p>
  </w:footnote>
  <w:footnote w:id="7">
    <w:p w14:paraId="684AB611" w14:textId="08214B06" w:rsidR="00655FD4" w:rsidRDefault="00655FD4">
      <w:pPr>
        <w:pStyle w:val="FootnoteText"/>
      </w:pPr>
      <w:r>
        <w:rPr>
          <w:rStyle w:val="FootnoteReference"/>
        </w:rPr>
        <w:footnoteRef/>
      </w:r>
      <w:r>
        <w:t xml:space="preserve"> “</w:t>
      </w:r>
      <w:proofErr w:type="spellStart"/>
      <w:r w:rsidR="00F974B0">
        <w:t>jasoosan</w:t>
      </w:r>
      <w:proofErr w:type="spellEnd"/>
      <w:r w:rsidR="00F974B0">
        <w:t xml:space="preserve"> e </w:t>
      </w:r>
      <w:proofErr w:type="spellStart"/>
      <w:r w:rsidR="00F974B0">
        <w:t>sherkate</w:t>
      </w:r>
      <w:proofErr w:type="spellEnd"/>
      <w:r w:rsidR="00F974B0">
        <w:t xml:space="preserve"> </w:t>
      </w:r>
      <w:proofErr w:type="spellStart"/>
      <w:r w:rsidR="00F974B0">
        <w:t>sabegh</w:t>
      </w:r>
      <w:proofErr w:type="spellEnd"/>
      <w:r w:rsidR="00F974B0">
        <w:t xml:space="preserve"> </w:t>
      </w:r>
      <w:proofErr w:type="spellStart"/>
      <w:r w:rsidR="00F974B0">
        <w:t>dar</w:t>
      </w:r>
      <w:proofErr w:type="spellEnd"/>
      <w:r w:rsidR="00F974B0">
        <w:t xml:space="preserve"> </w:t>
      </w:r>
      <w:proofErr w:type="spellStart"/>
      <w:r w:rsidR="00F974B0">
        <w:t>astine</w:t>
      </w:r>
      <w:proofErr w:type="spellEnd"/>
      <w:r w:rsidR="00F974B0">
        <w:t xml:space="preserve"> doctor </w:t>
      </w:r>
      <w:proofErr w:type="spellStart"/>
      <w:r w:rsidR="00F974B0">
        <w:t>mosadesgh</w:t>
      </w:r>
      <w:proofErr w:type="spellEnd"/>
      <w:r>
        <w:t>”</w:t>
      </w:r>
      <w:r w:rsidR="00654A22">
        <w:t xml:space="preserve"> (Ex-company spies in Doctor Mosaddegh’s bosom) </w:t>
      </w:r>
      <w:r w:rsidR="006B3F3D">
        <w:t>.</w:t>
      </w:r>
      <w:r>
        <w:t xml:space="preserve"> </w:t>
      </w:r>
      <w:r w:rsidR="007D1756">
        <w:t>(</w:t>
      </w:r>
      <w:r>
        <w:t>1951</w:t>
      </w:r>
      <w:r w:rsidR="00FF0895">
        <w:t>, December 10</w:t>
      </w:r>
      <w:r w:rsidR="007D1756">
        <w:t>)</w:t>
      </w:r>
      <w:r>
        <w:t xml:space="preserve">, </w:t>
      </w:r>
      <w:r w:rsidR="007D1756">
        <w:t>(1330</w:t>
      </w:r>
      <w:r w:rsidR="00FF0895">
        <w:t>, Azar 19</w:t>
      </w:r>
      <w:r w:rsidR="007D1756">
        <w:t>)</w:t>
      </w:r>
      <w:r w:rsidR="00921D5E">
        <w:t xml:space="preserve">. </w:t>
      </w:r>
      <w:r w:rsidR="00921D5E" w:rsidRPr="00921D5E">
        <w:rPr>
          <w:i/>
          <w:iCs/>
        </w:rPr>
        <w:t>Atash</w:t>
      </w:r>
      <w:r w:rsidR="00921D5E">
        <w:t>,</w:t>
      </w:r>
      <w:r w:rsidR="007D1756">
        <w:t xml:space="preserve"> </w:t>
      </w:r>
      <w:r>
        <w:t>1094</w:t>
      </w:r>
      <w:r w:rsidR="00BC0CC1">
        <w:t xml:space="preserve"> (5)</w:t>
      </w:r>
      <w:r>
        <w:t>, 1.</w:t>
      </w:r>
    </w:p>
  </w:footnote>
  <w:footnote w:id="8">
    <w:p w14:paraId="2AA16D32" w14:textId="7343E5D8" w:rsidR="00655FD4" w:rsidRDefault="00655FD4">
      <w:pPr>
        <w:pStyle w:val="FootnoteText"/>
      </w:pPr>
      <w:r>
        <w:rPr>
          <w:rStyle w:val="FootnoteReference"/>
        </w:rPr>
        <w:footnoteRef/>
      </w:r>
      <w:r>
        <w:t xml:space="preserve"> “</w:t>
      </w:r>
      <w:r w:rsidR="00CF455F">
        <w:t xml:space="preserve">Bahrein </w:t>
      </w:r>
      <w:proofErr w:type="spellStart"/>
      <w:r w:rsidR="00CF455F">
        <w:t>joze</w:t>
      </w:r>
      <w:proofErr w:type="spellEnd"/>
      <w:r w:rsidR="00CF455F">
        <w:t xml:space="preserve"> </w:t>
      </w:r>
      <w:proofErr w:type="spellStart"/>
      <w:r w:rsidR="00CF455F">
        <w:t>layanfake</w:t>
      </w:r>
      <w:proofErr w:type="spellEnd"/>
      <w:r w:rsidR="00CF455F">
        <w:t xml:space="preserve"> Iran </w:t>
      </w:r>
      <w:proofErr w:type="spellStart"/>
      <w:r w:rsidR="00CF455F">
        <w:t>ast</w:t>
      </w:r>
      <w:proofErr w:type="spellEnd"/>
      <w:r>
        <w:t>”</w:t>
      </w:r>
      <w:r w:rsidR="00654A22">
        <w:t xml:space="preserve"> (Bahrain is an inseparable part of Iran)</w:t>
      </w:r>
      <w:r w:rsidR="006B3F3D">
        <w:t>.</w:t>
      </w:r>
      <w:r>
        <w:t xml:space="preserve"> </w:t>
      </w:r>
      <w:r w:rsidR="006E7483">
        <w:t>(</w:t>
      </w:r>
      <w:r>
        <w:t>1952</w:t>
      </w:r>
      <w:r w:rsidR="00FF0895">
        <w:t>, May 5</w:t>
      </w:r>
      <w:r w:rsidR="006E7483">
        <w:t>)</w:t>
      </w:r>
      <w:r>
        <w:t>,</w:t>
      </w:r>
      <w:r w:rsidR="006E7483">
        <w:t xml:space="preserve"> (1</w:t>
      </w:r>
      <w:r w:rsidR="00003E24">
        <w:t>3</w:t>
      </w:r>
      <w:r w:rsidR="006E7483">
        <w:t>31</w:t>
      </w:r>
      <w:r w:rsidR="00FF0895">
        <w:t xml:space="preserve">, </w:t>
      </w:r>
      <w:proofErr w:type="spellStart"/>
      <w:r w:rsidR="00FF0895">
        <w:t>Ordibehesht</w:t>
      </w:r>
      <w:proofErr w:type="spellEnd"/>
      <w:r w:rsidR="00FF0895">
        <w:t xml:space="preserve"> 15</w:t>
      </w:r>
      <w:r w:rsidR="006E7483">
        <w:t>)</w:t>
      </w:r>
      <w:r w:rsidR="00921D5E">
        <w:t xml:space="preserve">. </w:t>
      </w:r>
      <w:proofErr w:type="spellStart"/>
      <w:r w:rsidR="00921D5E" w:rsidRPr="00921D5E">
        <w:rPr>
          <w:i/>
          <w:iCs/>
        </w:rPr>
        <w:t>Hamleh</w:t>
      </w:r>
      <w:proofErr w:type="spellEnd"/>
      <w:r w:rsidR="00921D5E">
        <w:t xml:space="preserve">, </w:t>
      </w:r>
      <w:r>
        <w:t>21</w:t>
      </w:r>
      <w:r w:rsidR="00BC0CC1">
        <w:t xml:space="preserve"> (2)</w:t>
      </w:r>
      <w:r>
        <w:t>, 4</w:t>
      </w:r>
      <w:r w:rsidR="00654A2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803854"/>
      <w:docPartObj>
        <w:docPartGallery w:val="Page Numbers (Top of Page)"/>
        <w:docPartUnique/>
      </w:docPartObj>
    </w:sdtPr>
    <w:sdtContent>
      <w:p w14:paraId="0505CAB3" w14:textId="2EE0285E" w:rsidR="00C47F6E" w:rsidRDefault="00C47F6E" w:rsidP="00C47F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D1430A" w14:textId="77777777" w:rsidR="00C47F6E" w:rsidRDefault="00C47F6E" w:rsidP="00C43E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F3B0" w14:textId="1E12105F" w:rsidR="00C47F6E" w:rsidRPr="00F13697" w:rsidRDefault="00C66B50" w:rsidP="00C43E2B">
    <w:pPr>
      <w:pStyle w:val="Header"/>
      <w:ind w:right="360"/>
      <w:rPr>
        <w:sz w:val="22"/>
        <w:szCs w:val="22"/>
      </w:rPr>
    </w:pPr>
    <w:r w:rsidRPr="00F13697">
      <w:rPr>
        <w:sz w:val="22"/>
        <w:szCs w:val="22"/>
      </w:rPr>
      <w:t>Analysis of</w:t>
    </w:r>
    <w:r w:rsidR="00CB6302" w:rsidRPr="00F13697">
      <w:rPr>
        <w:sz w:val="22"/>
        <w:szCs w:val="22"/>
      </w:rPr>
      <w:t xml:space="preserve"> </w:t>
    </w:r>
    <w:r w:rsidR="00C47F6E" w:rsidRPr="00F13697">
      <w:rPr>
        <w:sz w:val="22"/>
        <w:szCs w:val="22"/>
      </w:rPr>
      <w:t>Political Invectives</w:t>
    </w:r>
    <w:r w:rsidRPr="00F13697">
      <w:rPr>
        <w:sz w:val="22"/>
        <w:szCs w:val="22"/>
      </w:rPr>
      <w:t xml:space="preserve"> in </w:t>
    </w:r>
    <w:r w:rsidR="00C47F6E" w:rsidRPr="00F13697">
      <w:rPr>
        <w:sz w:val="22"/>
        <w:szCs w:val="22"/>
      </w:rPr>
      <w:t>Persian Newspapers</w:t>
    </w:r>
    <w:r w:rsidRPr="00F13697">
      <w:rPr>
        <w:sz w:val="22"/>
        <w:szCs w:val="22"/>
      </w:rPr>
      <w:t>,</w:t>
    </w:r>
    <w:r w:rsidR="00C47F6E" w:rsidRPr="00F13697">
      <w:rPr>
        <w:sz w:val="22"/>
        <w:szCs w:val="22"/>
      </w:rPr>
      <w:t xml:space="preserve"> 19</w:t>
    </w:r>
    <w:r w:rsidR="00C30254" w:rsidRPr="00F13697">
      <w:rPr>
        <w:sz w:val="22"/>
        <w:szCs w:val="22"/>
      </w:rPr>
      <w:t>00</w:t>
    </w:r>
    <w:r w:rsidR="00C47F6E" w:rsidRPr="00F13697">
      <w:rPr>
        <w:sz w:val="22"/>
        <w:szCs w:val="22"/>
      </w:rPr>
      <w:t>-195</w:t>
    </w:r>
    <w:r w:rsidR="00C30254" w:rsidRPr="00F13697">
      <w:rPr>
        <w:sz w:val="22"/>
        <w:szCs w:val="22"/>
      </w:rPr>
      <w:t>3</w:t>
    </w:r>
    <w:r w:rsidR="00C47F6E" w:rsidRPr="00F13697">
      <w:rPr>
        <w:sz w:val="22"/>
        <w:szCs w:val="22"/>
      </w:rPr>
      <w:t xml:space="preserve">       </w:t>
    </w:r>
    <w:r w:rsidR="004E4C1D">
      <w:rPr>
        <w:sz w:val="22"/>
        <w:szCs w:val="22"/>
      </w:rPr>
      <w:t xml:space="preserve">                                 </w:t>
    </w:r>
    <w:r w:rsidR="00C47F6E" w:rsidRPr="00F13697">
      <w:rPr>
        <w:sz w:val="22"/>
        <w:szCs w:val="22"/>
      </w:rPr>
      <w:t xml:space="preserve">  Nooshin Shakiba</w:t>
    </w:r>
  </w:p>
  <w:p w14:paraId="085680A1" w14:textId="77777777" w:rsidR="00C47F6E" w:rsidRPr="00F13697" w:rsidRDefault="00C47F6E">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4D12"/>
    <w:multiLevelType w:val="hybridMultilevel"/>
    <w:tmpl w:val="F84C0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63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13"/>
    <w:rsid w:val="00000BE1"/>
    <w:rsid w:val="00003E24"/>
    <w:rsid w:val="00004880"/>
    <w:rsid w:val="00014562"/>
    <w:rsid w:val="00015DC2"/>
    <w:rsid w:val="0002400E"/>
    <w:rsid w:val="00033B11"/>
    <w:rsid w:val="00043E27"/>
    <w:rsid w:val="00045495"/>
    <w:rsid w:val="00045E57"/>
    <w:rsid w:val="000509E0"/>
    <w:rsid w:val="00053CAD"/>
    <w:rsid w:val="0005685B"/>
    <w:rsid w:val="00056E1B"/>
    <w:rsid w:val="000611D6"/>
    <w:rsid w:val="000910F0"/>
    <w:rsid w:val="00097379"/>
    <w:rsid w:val="000A70BA"/>
    <w:rsid w:val="000B7618"/>
    <w:rsid w:val="000C1A9D"/>
    <w:rsid w:val="000D0F7B"/>
    <w:rsid w:val="000E0B20"/>
    <w:rsid w:val="000E0F00"/>
    <w:rsid w:val="000E54FB"/>
    <w:rsid w:val="000F1B7C"/>
    <w:rsid w:val="000F2041"/>
    <w:rsid w:val="000F5290"/>
    <w:rsid w:val="000F593B"/>
    <w:rsid w:val="000F71B9"/>
    <w:rsid w:val="00102E8F"/>
    <w:rsid w:val="001032BD"/>
    <w:rsid w:val="001040C6"/>
    <w:rsid w:val="0010416D"/>
    <w:rsid w:val="00105E78"/>
    <w:rsid w:val="00106324"/>
    <w:rsid w:val="001122BE"/>
    <w:rsid w:val="00114364"/>
    <w:rsid w:val="00126CA6"/>
    <w:rsid w:val="00133D7D"/>
    <w:rsid w:val="00135438"/>
    <w:rsid w:val="001461DB"/>
    <w:rsid w:val="00150F89"/>
    <w:rsid w:val="00153019"/>
    <w:rsid w:val="001532BF"/>
    <w:rsid w:val="001532E3"/>
    <w:rsid w:val="00160F85"/>
    <w:rsid w:val="001A024E"/>
    <w:rsid w:val="001A23AB"/>
    <w:rsid w:val="001A5D9B"/>
    <w:rsid w:val="001B5DF9"/>
    <w:rsid w:val="001C1B96"/>
    <w:rsid w:val="001C2FF5"/>
    <w:rsid w:val="001C31D7"/>
    <w:rsid w:val="001C46B3"/>
    <w:rsid w:val="001D41E8"/>
    <w:rsid w:val="001F2CEE"/>
    <w:rsid w:val="001F2F9F"/>
    <w:rsid w:val="00202EB0"/>
    <w:rsid w:val="002108FF"/>
    <w:rsid w:val="00210C29"/>
    <w:rsid w:val="00216236"/>
    <w:rsid w:val="00217C85"/>
    <w:rsid w:val="00221637"/>
    <w:rsid w:val="0022234F"/>
    <w:rsid w:val="00234ABF"/>
    <w:rsid w:val="002362EF"/>
    <w:rsid w:val="002570CC"/>
    <w:rsid w:val="002735D5"/>
    <w:rsid w:val="00276DCF"/>
    <w:rsid w:val="00283956"/>
    <w:rsid w:val="0028639E"/>
    <w:rsid w:val="00297AE0"/>
    <w:rsid w:val="002A2DDB"/>
    <w:rsid w:val="002B04BE"/>
    <w:rsid w:val="002B21FF"/>
    <w:rsid w:val="002B617C"/>
    <w:rsid w:val="002C2435"/>
    <w:rsid w:val="002D32ED"/>
    <w:rsid w:val="002D4147"/>
    <w:rsid w:val="002D5F2E"/>
    <w:rsid w:val="002E2F69"/>
    <w:rsid w:val="002F19C1"/>
    <w:rsid w:val="002F5C7D"/>
    <w:rsid w:val="00305137"/>
    <w:rsid w:val="00312BC7"/>
    <w:rsid w:val="00317929"/>
    <w:rsid w:val="00322A6A"/>
    <w:rsid w:val="003270DD"/>
    <w:rsid w:val="0034018C"/>
    <w:rsid w:val="003449EB"/>
    <w:rsid w:val="00361DD2"/>
    <w:rsid w:val="00371ABB"/>
    <w:rsid w:val="00372F39"/>
    <w:rsid w:val="0037309A"/>
    <w:rsid w:val="00374ED8"/>
    <w:rsid w:val="00383EEB"/>
    <w:rsid w:val="003A2DBB"/>
    <w:rsid w:val="003B1837"/>
    <w:rsid w:val="003B7C50"/>
    <w:rsid w:val="003D0631"/>
    <w:rsid w:val="003D0C30"/>
    <w:rsid w:val="003D1E66"/>
    <w:rsid w:val="003D3422"/>
    <w:rsid w:val="003E2187"/>
    <w:rsid w:val="003E5CE6"/>
    <w:rsid w:val="003E7443"/>
    <w:rsid w:val="00402713"/>
    <w:rsid w:val="0040340F"/>
    <w:rsid w:val="0042119E"/>
    <w:rsid w:val="004223C5"/>
    <w:rsid w:val="00432E33"/>
    <w:rsid w:val="00433BF4"/>
    <w:rsid w:val="004344CA"/>
    <w:rsid w:val="00434889"/>
    <w:rsid w:val="00441808"/>
    <w:rsid w:val="0044447E"/>
    <w:rsid w:val="00456D6D"/>
    <w:rsid w:val="00463793"/>
    <w:rsid w:val="004752AD"/>
    <w:rsid w:val="00482A4A"/>
    <w:rsid w:val="00483A84"/>
    <w:rsid w:val="00492AAE"/>
    <w:rsid w:val="004930E7"/>
    <w:rsid w:val="004A1CB2"/>
    <w:rsid w:val="004A378D"/>
    <w:rsid w:val="004A54DC"/>
    <w:rsid w:val="004B057F"/>
    <w:rsid w:val="004B3D3F"/>
    <w:rsid w:val="004C2C4C"/>
    <w:rsid w:val="004D1456"/>
    <w:rsid w:val="004D4A4A"/>
    <w:rsid w:val="004E2F86"/>
    <w:rsid w:val="004E42ED"/>
    <w:rsid w:val="004E4C1D"/>
    <w:rsid w:val="004F5355"/>
    <w:rsid w:val="00507C0B"/>
    <w:rsid w:val="0053114C"/>
    <w:rsid w:val="00531FDB"/>
    <w:rsid w:val="00532CD3"/>
    <w:rsid w:val="00533F8B"/>
    <w:rsid w:val="005449AD"/>
    <w:rsid w:val="005575BB"/>
    <w:rsid w:val="0056164F"/>
    <w:rsid w:val="00561E6C"/>
    <w:rsid w:val="005650E8"/>
    <w:rsid w:val="0057346B"/>
    <w:rsid w:val="00574803"/>
    <w:rsid w:val="00576915"/>
    <w:rsid w:val="0058031F"/>
    <w:rsid w:val="00581EC4"/>
    <w:rsid w:val="0058682F"/>
    <w:rsid w:val="00587B2E"/>
    <w:rsid w:val="005903E8"/>
    <w:rsid w:val="0059101E"/>
    <w:rsid w:val="005969A6"/>
    <w:rsid w:val="005A01BC"/>
    <w:rsid w:val="005A1BA3"/>
    <w:rsid w:val="005B0170"/>
    <w:rsid w:val="005B1064"/>
    <w:rsid w:val="005C4179"/>
    <w:rsid w:val="005D30C6"/>
    <w:rsid w:val="005D6B89"/>
    <w:rsid w:val="005E12E5"/>
    <w:rsid w:val="005E18CE"/>
    <w:rsid w:val="005E5520"/>
    <w:rsid w:val="005F1892"/>
    <w:rsid w:val="005F6818"/>
    <w:rsid w:val="005F766B"/>
    <w:rsid w:val="00611509"/>
    <w:rsid w:val="00612196"/>
    <w:rsid w:val="00614CE7"/>
    <w:rsid w:val="00623B71"/>
    <w:rsid w:val="006252C4"/>
    <w:rsid w:val="00635D73"/>
    <w:rsid w:val="00637559"/>
    <w:rsid w:val="0064115C"/>
    <w:rsid w:val="00641586"/>
    <w:rsid w:val="006548C1"/>
    <w:rsid w:val="00654A22"/>
    <w:rsid w:val="00655FD4"/>
    <w:rsid w:val="00663C42"/>
    <w:rsid w:val="00664739"/>
    <w:rsid w:val="006701ED"/>
    <w:rsid w:val="006813C3"/>
    <w:rsid w:val="006817A1"/>
    <w:rsid w:val="00684974"/>
    <w:rsid w:val="006A7FAF"/>
    <w:rsid w:val="006B2407"/>
    <w:rsid w:val="006B3F3D"/>
    <w:rsid w:val="006B56D9"/>
    <w:rsid w:val="006B6458"/>
    <w:rsid w:val="006B65C9"/>
    <w:rsid w:val="006C2DF8"/>
    <w:rsid w:val="006C3F07"/>
    <w:rsid w:val="006D5A9E"/>
    <w:rsid w:val="006E7483"/>
    <w:rsid w:val="006F2829"/>
    <w:rsid w:val="00705ED7"/>
    <w:rsid w:val="0070740A"/>
    <w:rsid w:val="00727A0C"/>
    <w:rsid w:val="00735322"/>
    <w:rsid w:val="0074288F"/>
    <w:rsid w:val="00752877"/>
    <w:rsid w:val="00765C47"/>
    <w:rsid w:val="00771BD4"/>
    <w:rsid w:val="00786297"/>
    <w:rsid w:val="00787569"/>
    <w:rsid w:val="00794A04"/>
    <w:rsid w:val="007A09CF"/>
    <w:rsid w:val="007A29D9"/>
    <w:rsid w:val="007A6B8C"/>
    <w:rsid w:val="007A7F87"/>
    <w:rsid w:val="007B04DD"/>
    <w:rsid w:val="007B733E"/>
    <w:rsid w:val="007C06C8"/>
    <w:rsid w:val="007D1756"/>
    <w:rsid w:val="007D1E30"/>
    <w:rsid w:val="007D480D"/>
    <w:rsid w:val="007D5333"/>
    <w:rsid w:val="007E0E3A"/>
    <w:rsid w:val="007E6018"/>
    <w:rsid w:val="007E7F0D"/>
    <w:rsid w:val="007F6E85"/>
    <w:rsid w:val="007F76B6"/>
    <w:rsid w:val="0080027C"/>
    <w:rsid w:val="00802C71"/>
    <w:rsid w:val="0081786F"/>
    <w:rsid w:val="0083531C"/>
    <w:rsid w:val="008373D7"/>
    <w:rsid w:val="00842EFA"/>
    <w:rsid w:val="00855436"/>
    <w:rsid w:val="0085569E"/>
    <w:rsid w:val="00860579"/>
    <w:rsid w:val="00862074"/>
    <w:rsid w:val="00871F0D"/>
    <w:rsid w:val="0088065B"/>
    <w:rsid w:val="00885CBD"/>
    <w:rsid w:val="008A23C7"/>
    <w:rsid w:val="008A2DCB"/>
    <w:rsid w:val="008A60E9"/>
    <w:rsid w:val="008B045D"/>
    <w:rsid w:val="008B663E"/>
    <w:rsid w:val="008C3BA4"/>
    <w:rsid w:val="008C75EF"/>
    <w:rsid w:val="008D0803"/>
    <w:rsid w:val="008D09DD"/>
    <w:rsid w:val="008E0D43"/>
    <w:rsid w:val="008E79A0"/>
    <w:rsid w:val="00901EE8"/>
    <w:rsid w:val="00902087"/>
    <w:rsid w:val="00911BAB"/>
    <w:rsid w:val="009122BB"/>
    <w:rsid w:val="00916357"/>
    <w:rsid w:val="00921D5E"/>
    <w:rsid w:val="009442A8"/>
    <w:rsid w:val="0094530C"/>
    <w:rsid w:val="00946035"/>
    <w:rsid w:val="009556F9"/>
    <w:rsid w:val="00965F2F"/>
    <w:rsid w:val="00967F78"/>
    <w:rsid w:val="009812F5"/>
    <w:rsid w:val="0098134A"/>
    <w:rsid w:val="00985A0E"/>
    <w:rsid w:val="00992161"/>
    <w:rsid w:val="00993847"/>
    <w:rsid w:val="00996FE8"/>
    <w:rsid w:val="009C5CED"/>
    <w:rsid w:val="009C6E08"/>
    <w:rsid w:val="009D6695"/>
    <w:rsid w:val="009E1B7E"/>
    <w:rsid w:val="009E4698"/>
    <w:rsid w:val="009E6F73"/>
    <w:rsid w:val="009F596D"/>
    <w:rsid w:val="00A11711"/>
    <w:rsid w:val="00A11BE8"/>
    <w:rsid w:val="00A12D67"/>
    <w:rsid w:val="00A2339C"/>
    <w:rsid w:val="00A3610F"/>
    <w:rsid w:val="00A36161"/>
    <w:rsid w:val="00A40E07"/>
    <w:rsid w:val="00A42E18"/>
    <w:rsid w:val="00A5350F"/>
    <w:rsid w:val="00A668FE"/>
    <w:rsid w:val="00A66ADC"/>
    <w:rsid w:val="00A673F3"/>
    <w:rsid w:val="00AA5148"/>
    <w:rsid w:val="00AA51A0"/>
    <w:rsid w:val="00AA612D"/>
    <w:rsid w:val="00AC17CE"/>
    <w:rsid w:val="00AC3201"/>
    <w:rsid w:val="00AC32C4"/>
    <w:rsid w:val="00AC4627"/>
    <w:rsid w:val="00AC646D"/>
    <w:rsid w:val="00AD05B1"/>
    <w:rsid w:val="00AD2B77"/>
    <w:rsid w:val="00AD3B32"/>
    <w:rsid w:val="00AD5248"/>
    <w:rsid w:val="00AE7BB2"/>
    <w:rsid w:val="00AF0EFC"/>
    <w:rsid w:val="00B05D0F"/>
    <w:rsid w:val="00B1083E"/>
    <w:rsid w:val="00B13C46"/>
    <w:rsid w:val="00B14C91"/>
    <w:rsid w:val="00B257F7"/>
    <w:rsid w:val="00B3170E"/>
    <w:rsid w:val="00B40071"/>
    <w:rsid w:val="00B43E1B"/>
    <w:rsid w:val="00B46088"/>
    <w:rsid w:val="00B52D46"/>
    <w:rsid w:val="00B52DA5"/>
    <w:rsid w:val="00B555F9"/>
    <w:rsid w:val="00B65792"/>
    <w:rsid w:val="00B73E5E"/>
    <w:rsid w:val="00BA4740"/>
    <w:rsid w:val="00BB40B2"/>
    <w:rsid w:val="00BC0CC1"/>
    <w:rsid w:val="00BC6B28"/>
    <w:rsid w:val="00BD3814"/>
    <w:rsid w:val="00BE251E"/>
    <w:rsid w:val="00BF4D6C"/>
    <w:rsid w:val="00C134A5"/>
    <w:rsid w:val="00C14C80"/>
    <w:rsid w:val="00C1568B"/>
    <w:rsid w:val="00C20A24"/>
    <w:rsid w:val="00C20A81"/>
    <w:rsid w:val="00C263FC"/>
    <w:rsid w:val="00C265A7"/>
    <w:rsid w:val="00C30249"/>
    <w:rsid w:val="00C30254"/>
    <w:rsid w:val="00C43E2B"/>
    <w:rsid w:val="00C479DA"/>
    <w:rsid w:val="00C47F6E"/>
    <w:rsid w:val="00C51528"/>
    <w:rsid w:val="00C54180"/>
    <w:rsid w:val="00C55170"/>
    <w:rsid w:val="00C57F07"/>
    <w:rsid w:val="00C65FC0"/>
    <w:rsid w:val="00C66542"/>
    <w:rsid w:val="00C66B50"/>
    <w:rsid w:val="00C76753"/>
    <w:rsid w:val="00C77204"/>
    <w:rsid w:val="00C81CDF"/>
    <w:rsid w:val="00C84E6F"/>
    <w:rsid w:val="00C93513"/>
    <w:rsid w:val="00C964DB"/>
    <w:rsid w:val="00CA46DC"/>
    <w:rsid w:val="00CA5B7B"/>
    <w:rsid w:val="00CB1EA0"/>
    <w:rsid w:val="00CB4493"/>
    <w:rsid w:val="00CB6302"/>
    <w:rsid w:val="00CB6665"/>
    <w:rsid w:val="00CB7ABA"/>
    <w:rsid w:val="00CC6594"/>
    <w:rsid w:val="00CC70DE"/>
    <w:rsid w:val="00CD33F6"/>
    <w:rsid w:val="00CE2E26"/>
    <w:rsid w:val="00CE7F6B"/>
    <w:rsid w:val="00CF455F"/>
    <w:rsid w:val="00D045E4"/>
    <w:rsid w:val="00D1260B"/>
    <w:rsid w:val="00D1414B"/>
    <w:rsid w:val="00D14A58"/>
    <w:rsid w:val="00D22996"/>
    <w:rsid w:val="00D3412A"/>
    <w:rsid w:val="00D575A5"/>
    <w:rsid w:val="00D60D3B"/>
    <w:rsid w:val="00D618E6"/>
    <w:rsid w:val="00D620EA"/>
    <w:rsid w:val="00D64673"/>
    <w:rsid w:val="00D72E98"/>
    <w:rsid w:val="00D74C80"/>
    <w:rsid w:val="00D7615B"/>
    <w:rsid w:val="00D76987"/>
    <w:rsid w:val="00D774AB"/>
    <w:rsid w:val="00D92FC5"/>
    <w:rsid w:val="00D94D29"/>
    <w:rsid w:val="00D95972"/>
    <w:rsid w:val="00DB06A9"/>
    <w:rsid w:val="00DB7611"/>
    <w:rsid w:val="00DD1EB9"/>
    <w:rsid w:val="00DE20C7"/>
    <w:rsid w:val="00DF5E62"/>
    <w:rsid w:val="00E04101"/>
    <w:rsid w:val="00E11BD3"/>
    <w:rsid w:val="00E11CFB"/>
    <w:rsid w:val="00E13AF2"/>
    <w:rsid w:val="00E220B9"/>
    <w:rsid w:val="00E23458"/>
    <w:rsid w:val="00E25B35"/>
    <w:rsid w:val="00E277DC"/>
    <w:rsid w:val="00E3447F"/>
    <w:rsid w:val="00E35265"/>
    <w:rsid w:val="00E43290"/>
    <w:rsid w:val="00E52533"/>
    <w:rsid w:val="00E55647"/>
    <w:rsid w:val="00E55F73"/>
    <w:rsid w:val="00E66494"/>
    <w:rsid w:val="00E667FD"/>
    <w:rsid w:val="00E75153"/>
    <w:rsid w:val="00EA1BA3"/>
    <w:rsid w:val="00EA6A51"/>
    <w:rsid w:val="00EB5371"/>
    <w:rsid w:val="00ED4423"/>
    <w:rsid w:val="00EE30DB"/>
    <w:rsid w:val="00EF21D8"/>
    <w:rsid w:val="00EF412E"/>
    <w:rsid w:val="00F00D5D"/>
    <w:rsid w:val="00F04A35"/>
    <w:rsid w:val="00F0586D"/>
    <w:rsid w:val="00F13697"/>
    <w:rsid w:val="00F17A52"/>
    <w:rsid w:val="00F22F1E"/>
    <w:rsid w:val="00F24DFC"/>
    <w:rsid w:val="00F35F5B"/>
    <w:rsid w:val="00F40D86"/>
    <w:rsid w:val="00F40F5A"/>
    <w:rsid w:val="00F441B4"/>
    <w:rsid w:val="00F466F0"/>
    <w:rsid w:val="00F475C0"/>
    <w:rsid w:val="00F528EE"/>
    <w:rsid w:val="00F55617"/>
    <w:rsid w:val="00F84F92"/>
    <w:rsid w:val="00F93007"/>
    <w:rsid w:val="00F974B0"/>
    <w:rsid w:val="00FC419F"/>
    <w:rsid w:val="00FC4A35"/>
    <w:rsid w:val="00FC79DD"/>
    <w:rsid w:val="00FE1EB3"/>
    <w:rsid w:val="00FF0895"/>
    <w:rsid w:val="00FF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B3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44CA"/>
    <w:rPr>
      <w:rFonts w:eastAsia="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713"/>
    <w:pPr>
      <w:tabs>
        <w:tab w:val="center" w:pos="4680"/>
        <w:tab w:val="right" w:pos="9360"/>
      </w:tabs>
    </w:pPr>
  </w:style>
  <w:style w:type="character" w:customStyle="1" w:styleId="HeaderChar">
    <w:name w:val="Header Char"/>
    <w:basedOn w:val="DefaultParagraphFont"/>
    <w:link w:val="Header"/>
    <w:uiPriority w:val="99"/>
    <w:rsid w:val="00402713"/>
  </w:style>
  <w:style w:type="paragraph" w:styleId="Footer">
    <w:name w:val="footer"/>
    <w:basedOn w:val="Normal"/>
    <w:link w:val="FooterChar"/>
    <w:uiPriority w:val="99"/>
    <w:unhideWhenUsed/>
    <w:rsid w:val="00402713"/>
    <w:pPr>
      <w:tabs>
        <w:tab w:val="center" w:pos="4680"/>
        <w:tab w:val="right" w:pos="9360"/>
      </w:tabs>
    </w:pPr>
  </w:style>
  <w:style w:type="character" w:customStyle="1" w:styleId="FooterChar">
    <w:name w:val="Footer Char"/>
    <w:basedOn w:val="DefaultParagraphFont"/>
    <w:link w:val="Footer"/>
    <w:uiPriority w:val="99"/>
    <w:rsid w:val="00402713"/>
  </w:style>
  <w:style w:type="paragraph" w:styleId="FootnoteText">
    <w:name w:val="footnote text"/>
    <w:basedOn w:val="Normal"/>
    <w:link w:val="FootnoteTextChar"/>
    <w:unhideWhenUsed/>
    <w:rsid w:val="00056E1B"/>
  </w:style>
  <w:style w:type="character" w:customStyle="1" w:styleId="FootnoteTextChar">
    <w:name w:val="Footnote Text Char"/>
    <w:basedOn w:val="DefaultParagraphFont"/>
    <w:link w:val="FootnoteText"/>
    <w:rsid w:val="00056E1B"/>
  </w:style>
  <w:style w:type="character" w:styleId="FootnoteReference">
    <w:name w:val="footnote reference"/>
    <w:basedOn w:val="DefaultParagraphFont"/>
    <w:unhideWhenUsed/>
    <w:rsid w:val="00056E1B"/>
    <w:rPr>
      <w:vertAlign w:val="superscript"/>
    </w:rPr>
  </w:style>
  <w:style w:type="character" w:styleId="CommentReference">
    <w:name w:val="annotation reference"/>
    <w:basedOn w:val="DefaultParagraphFont"/>
    <w:uiPriority w:val="99"/>
    <w:semiHidden/>
    <w:unhideWhenUsed/>
    <w:rsid w:val="001A23AB"/>
    <w:rPr>
      <w:sz w:val="18"/>
      <w:szCs w:val="18"/>
    </w:rPr>
  </w:style>
  <w:style w:type="paragraph" w:styleId="CommentText">
    <w:name w:val="annotation text"/>
    <w:basedOn w:val="Normal"/>
    <w:link w:val="CommentTextChar"/>
    <w:uiPriority w:val="99"/>
    <w:unhideWhenUsed/>
    <w:rsid w:val="001A23AB"/>
  </w:style>
  <w:style w:type="character" w:customStyle="1" w:styleId="CommentTextChar">
    <w:name w:val="Comment Text Char"/>
    <w:basedOn w:val="DefaultParagraphFont"/>
    <w:link w:val="CommentText"/>
    <w:uiPriority w:val="99"/>
    <w:rsid w:val="001A23AB"/>
  </w:style>
  <w:style w:type="paragraph" w:styleId="CommentSubject">
    <w:name w:val="annotation subject"/>
    <w:basedOn w:val="CommentText"/>
    <w:next w:val="CommentText"/>
    <w:link w:val="CommentSubjectChar"/>
    <w:uiPriority w:val="99"/>
    <w:semiHidden/>
    <w:unhideWhenUsed/>
    <w:rsid w:val="001A23AB"/>
    <w:rPr>
      <w:b/>
      <w:bCs/>
      <w:sz w:val="20"/>
      <w:szCs w:val="20"/>
    </w:rPr>
  </w:style>
  <w:style w:type="character" w:customStyle="1" w:styleId="CommentSubjectChar">
    <w:name w:val="Comment Subject Char"/>
    <w:basedOn w:val="CommentTextChar"/>
    <w:link w:val="CommentSubject"/>
    <w:uiPriority w:val="99"/>
    <w:semiHidden/>
    <w:rsid w:val="001A23AB"/>
    <w:rPr>
      <w:b/>
      <w:bCs/>
      <w:sz w:val="20"/>
      <w:szCs w:val="20"/>
    </w:rPr>
  </w:style>
  <w:style w:type="paragraph" w:styleId="BalloonText">
    <w:name w:val="Balloon Text"/>
    <w:basedOn w:val="Normal"/>
    <w:link w:val="BalloonTextChar"/>
    <w:uiPriority w:val="99"/>
    <w:semiHidden/>
    <w:unhideWhenUsed/>
    <w:rsid w:val="001A23AB"/>
    <w:rPr>
      <w:sz w:val="18"/>
      <w:szCs w:val="18"/>
    </w:rPr>
  </w:style>
  <w:style w:type="character" w:customStyle="1" w:styleId="BalloonTextChar">
    <w:name w:val="Balloon Text Char"/>
    <w:basedOn w:val="DefaultParagraphFont"/>
    <w:link w:val="BalloonText"/>
    <w:uiPriority w:val="99"/>
    <w:semiHidden/>
    <w:rsid w:val="001A23AB"/>
    <w:rPr>
      <w:rFonts w:cs="Times New Roman"/>
      <w:sz w:val="18"/>
      <w:szCs w:val="18"/>
    </w:rPr>
  </w:style>
  <w:style w:type="paragraph" w:styleId="ListParagraph">
    <w:name w:val="List Paragraph"/>
    <w:basedOn w:val="Normal"/>
    <w:qFormat/>
    <w:rsid w:val="00D60D3B"/>
    <w:pPr>
      <w:spacing w:after="160" w:line="259"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C43E2B"/>
  </w:style>
  <w:style w:type="paragraph" w:styleId="Revision">
    <w:name w:val="Revision"/>
    <w:hidden/>
    <w:uiPriority w:val="99"/>
    <w:semiHidden/>
    <w:rsid w:val="00C479DA"/>
  </w:style>
  <w:style w:type="character" w:customStyle="1" w:styleId="apple-converted-space">
    <w:name w:val="apple-converted-space"/>
    <w:basedOn w:val="DefaultParagraphFont"/>
    <w:rsid w:val="0043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366220173">
      <w:bodyDiv w:val="1"/>
      <w:marLeft w:val="0"/>
      <w:marRight w:val="0"/>
      <w:marTop w:val="0"/>
      <w:marBottom w:val="0"/>
      <w:divBdr>
        <w:top w:val="none" w:sz="0" w:space="0" w:color="auto"/>
        <w:left w:val="none" w:sz="0" w:space="0" w:color="auto"/>
        <w:bottom w:val="none" w:sz="0" w:space="0" w:color="auto"/>
        <w:right w:val="none" w:sz="0" w:space="0" w:color="auto"/>
      </w:divBdr>
      <w:divsChild>
        <w:div w:id="1236207755">
          <w:marLeft w:val="0"/>
          <w:marRight w:val="0"/>
          <w:marTop w:val="0"/>
          <w:marBottom w:val="0"/>
          <w:divBdr>
            <w:top w:val="none" w:sz="0" w:space="0" w:color="auto"/>
            <w:left w:val="none" w:sz="0" w:space="0" w:color="auto"/>
            <w:bottom w:val="none" w:sz="0" w:space="0" w:color="auto"/>
            <w:right w:val="none" w:sz="0" w:space="0" w:color="auto"/>
          </w:divBdr>
        </w:div>
        <w:div w:id="1151483281">
          <w:marLeft w:val="0"/>
          <w:marRight w:val="0"/>
          <w:marTop w:val="0"/>
          <w:marBottom w:val="0"/>
          <w:divBdr>
            <w:top w:val="none" w:sz="0" w:space="0" w:color="auto"/>
            <w:left w:val="none" w:sz="0" w:space="0" w:color="auto"/>
            <w:bottom w:val="none" w:sz="0" w:space="0" w:color="auto"/>
            <w:right w:val="none" w:sz="0" w:space="0" w:color="auto"/>
          </w:divBdr>
        </w:div>
        <w:div w:id="121926261">
          <w:marLeft w:val="0"/>
          <w:marRight w:val="0"/>
          <w:marTop w:val="0"/>
          <w:marBottom w:val="0"/>
          <w:divBdr>
            <w:top w:val="none" w:sz="0" w:space="0" w:color="auto"/>
            <w:left w:val="none" w:sz="0" w:space="0" w:color="auto"/>
            <w:bottom w:val="none" w:sz="0" w:space="0" w:color="auto"/>
            <w:right w:val="none" w:sz="0" w:space="0" w:color="auto"/>
          </w:divBdr>
        </w:div>
      </w:divsChild>
    </w:div>
    <w:div w:id="1003170830">
      <w:bodyDiv w:val="1"/>
      <w:marLeft w:val="0"/>
      <w:marRight w:val="0"/>
      <w:marTop w:val="0"/>
      <w:marBottom w:val="0"/>
      <w:divBdr>
        <w:top w:val="none" w:sz="0" w:space="0" w:color="auto"/>
        <w:left w:val="none" w:sz="0" w:space="0" w:color="auto"/>
        <w:bottom w:val="none" w:sz="0" w:space="0" w:color="auto"/>
        <w:right w:val="none" w:sz="0" w:space="0" w:color="auto"/>
      </w:divBdr>
      <w:divsChild>
        <w:div w:id="1029650291">
          <w:marLeft w:val="0"/>
          <w:marRight w:val="0"/>
          <w:marTop w:val="0"/>
          <w:marBottom w:val="0"/>
          <w:divBdr>
            <w:top w:val="none" w:sz="0" w:space="0" w:color="auto"/>
            <w:left w:val="none" w:sz="0" w:space="0" w:color="auto"/>
            <w:bottom w:val="none" w:sz="0" w:space="0" w:color="auto"/>
            <w:right w:val="none" w:sz="0" w:space="0" w:color="auto"/>
          </w:divBdr>
        </w:div>
        <w:div w:id="1324428886">
          <w:marLeft w:val="0"/>
          <w:marRight w:val="0"/>
          <w:marTop w:val="0"/>
          <w:marBottom w:val="0"/>
          <w:divBdr>
            <w:top w:val="none" w:sz="0" w:space="0" w:color="auto"/>
            <w:left w:val="none" w:sz="0" w:space="0" w:color="auto"/>
            <w:bottom w:val="none" w:sz="0" w:space="0" w:color="auto"/>
            <w:right w:val="none" w:sz="0" w:space="0" w:color="auto"/>
          </w:divBdr>
        </w:div>
      </w:divsChild>
    </w:div>
    <w:div w:id="1252861496">
      <w:bodyDiv w:val="1"/>
      <w:marLeft w:val="0"/>
      <w:marRight w:val="0"/>
      <w:marTop w:val="0"/>
      <w:marBottom w:val="0"/>
      <w:divBdr>
        <w:top w:val="none" w:sz="0" w:space="0" w:color="auto"/>
        <w:left w:val="none" w:sz="0" w:space="0" w:color="auto"/>
        <w:bottom w:val="none" w:sz="0" w:space="0" w:color="auto"/>
        <w:right w:val="none" w:sz="0" w:space="0" w:color="auto"/>
      </w:divBdr>
      <w:divsChild>
        <w:div w:id="1553884973">
          <w:marLeft w:val="0"/>
          <w:marRight w:val="0"/>
          <w:marTop w:val="0"/>
          <w:marBottom w:val="0"/>
          <w:divBdr>
            <w:top w:val="none" w:sz="0" w:space="0" w:color="auto"/>
            <w:left w:val="none" w:sz="0" w:space="0" w:color="auto"/>
            <w:bottom w:val="none" w:sz="0" w:space="0" w:color="auto"/>
            <w:right w:val="none" w:sz="0" w:space="0" w:color="auto"/>
          </w:divBdr>
        </w:div>
        <w:div w:id="1096905988">
          <w:marLeft w:val="0"/>
          <w:marRight w:val="0"/>
          <w:marTop w:val="0"/>
          <w:marBottom w:val="0"/>
          <w:divBdr>
            <w:top w:val="none" w:sz="0" w:space="0" w:color="auto"/>
            <w:left w:val="none" w:sz="0" w:space="0" w:color="auto"/>
            <w:bottom w:val="none" w:sz="0" w:space="0" w:color="auto"/>
            <w:right w:val="none" w:sz="0" w:space="0" w:color="auto"/>
          </w:divBdr>
        </w:div>
        <w:div w:id="884758316">
          <w:marLeft w:val="0"/>
          <w:marRight w:val="0"/>
          <w:marTop w:val="0"/>
          <w:marBottom w:val="0"/>
          <w:divBdr>
            <w:top w:val="none" w:sz="0" w:space="0" w:color="auto"/>
            <w:left w:val="none" w:sz="0" w:space="0" w:color="auto"/>
            <w:bottom w:val="none" w:sz="0" w:space="0" w:color="auto"/>
            <w:right w:val="none" w:sz="0" w:space="0" w:color="auto"/>
          </w:divBdr>
        </w:div>
      </w:divsChild>
    </w:div>
    <w:div w:id="1707023078">
      <w:bodyDiv w:val="1"/>
      <w:marLeft w:val="0"/>
      <w:marRight w:val="0"/>
      <w:marTop w:val="0"/>
      <w:marBottom w:val="0"/>
      <w:divBdr>
        <w:top w:val="none" w:sz="0" w:space="0" w:color="auto"/>
        <w:left w:val="none" w:sz="0" w:space="0" w:color="auto"/>
        <w:bottom w:val="none" w:sz="0" w:space="0" w:color="auto"/>
        <w:right w:val="none" w:sz="0" w:space="0" w:color="auto"/>
      </w:divBdr>
      <w:divsChild>
        <w:div w:id="2018579655">
          <w:marLeft w:val="0"/>
          <w:marRight w:val="0"/>
          <w:marTop w:val="0"/>
          <w:marBottom w:val="0"/>
          <w:divBdr>
            <w:top w:val="none" w:sz="0" w:space="0" w:color="auto"/>
            <w:left w:val="none" w:sz="0" w:space="0" w:color="auto"/>
            <w:bottom w:val="none" w:sz="0" w:space="0" w:color="auto"/>
            <w:right w:val="none" w:sz="0" w:space="0" w:color="auto"/>
          </w:divBdr>
        </w:div>
        <w:div w:id="8686442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35640-2C53-45D5-8B4B-AC62492A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Nooshin Shakiba</dc:creator>
  <cp:keywords/>
  <dc:description/>
  <cp:lastModifiedBy>nooshin shakiba</cp:lastModifiedBy>
  <cp:revision>3</cp:revision>
  <dcterms:created xsi:type="dcterms:W3CDTF">2022-08-10T15:28:00Z</dcterms:created>
  <dcterms:modified xsi:type="dcterms:W3CDTF">2022-08-10T17:07:00Z</dcterms:modified>
</cp:coreProperties>
</file>