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7354" w14:textId="72AF8EF3" w:rsidR="00F34A03" w:rsidRPr="00FF297F" w:rsidRDefault="00F34A03" w:rsidP="00F34A03">
      <w:pPr>
        <w:pStyle w:val="Heading1"/>
        <w:rPr>
          <w:rFonts w:ascii="Times New Roman" w:eastAsia="Times New Roman" w:hAnsi="Times New Roman" w:cs="Times New Roman"/>
          <w:sz w:val="28"/>
          <w:szCs w:val="28"/>
        </w:rPr>
      </w:pPr>
      <w:bookmarkStart w:id="0" w:name="_Toc381305814"/>
      <w:bookmarkStart w:id="1" w:name="_Toc381305976"/>
      <w:bookmarkStart w:id="2" w:name="_Toc381457514"/>
      <w:bookmarkStart w:id="3" w:name="_Toc381471917"/>
      <w:bookmarkStart w:id="4" w:name="_Toc182311780"/>
      <w:r w:rsidRPr="00FF297F">
        <w:rPr>
          <w:rFonts w:eastAsia="Times New Roman"/>
          <w:i/>
          <w:sz w:val="28"/>
          <w:szCs w:val="28"/>
        </w:rPr>
        <w:t>The Cosmopolis</w:t>
      </w:r>
      <w:r w:rsidRPr="00FF297F">
        <w:rPr>
          <w:rFonts w:eastAsia="Times New Roman"/>
          <w:i/>
          <w:iCs/>
          <w:sz w:val="28"/>
          <w:szCs w:val="28"/>
        </w:rPr>
        <w:t xml:space="preserve"> Harem: </w:t>
      </w:r>
      <w:bookmarkEnd w:id="0"/>
      <w:bookmarkEnd w:id="1"/>
      <w:bookmarkEnd w:id="2"/>
      <w:bookmarkEnd w:id="3"/>
    </w:p>
    <w:p w14:paraId="0C0638C8" w14:textId="6C2FDB94" w:rsidR="00F34A03" w:rsidRPr="009E129D" w:rsidRDefault="00F34A03" w:rsidP="00F34A03">
      <w:pPr>
        <w:pStyle w:val="Heading1"/>
        <w:rPr>
          <w:rFonts w:ascii="Times New Roman" w:eastAsia="Times New Roman" w:hAnsi="Times New Roman" w:cs="Times New Roman"/>
          <w:sz w:val="28"/>
          <w:szCs w:val="28"/>
        </w:rPr>
      </w:pPr>
      <w:bookmarkStart w:id="5" w:name="_Toc381305815"/>
      <w:bookmarkStart w:id="6" w:name="_Toc381305977"/>
      <w:bookmarkStart w:id="7" w:name="_Toc381457515"/>
      <w:bookmarkStart w:id="8" w:name="_Toc381471918"/>
      <w:r w:rsidRPr="009E129D">
        <w:rPr>
          <w:rFonts w:ascii="Times New Roman" w:eastAsia="Times New Roman" w:hAnsi="Times New Roman" w:cs="Times New Roman"/>
          <w:sz w:val="28"/>
          <w:szCs w:val="28"/>
        </w:rPr>
        <w:t xml:space="preserve">Intimacy, </w:t>
      </w:r>
      <w:r>
        <w:rPr>
          <w:rFonts w:ascii="Times New Roman" w:eastAsia="Times New Roman" w:hAnsi="Times New Roman" w:cs="Times New Roman"/>
          <w:sz w:val="28"/>
          <w:szCs w:val="28"/>
        </w:rPr>
        <w:t xml:space="preserve">Power </w:t>
      </w:r>
      <w:r w:rsidRPr="009E129D">
        <w:rPr>
          <w:rFonts w:ascii="Times New Roman" w:eastAsia="Times New Roman" w:hAnsi="Times New Roman" w:cs="Times New Roman"/>
          <w:sz w:val="28"/>
          <w:szCs w:val="28"/>
        </w:rPr>
        <w:t>and Liminal Family Formation</w:t>
      </w:r>
      <w:bookmarkEnd w:id="5"/>
      <w:bookmarkEnd w:id="6"/>
      <w:bookmarkEnd w:id="7"/>
      <w:bookmarkEnd w:id="8"/>
    </w:p>
    <w:p w14:paraId="65BD0D45" w14:textId="540BE9DA" w:rsidR="00F34A03" w:rsidRDefault="00F34A03" w:rsidP="00F34A03">
      <w:pPr>
        <w:pStyle w:val="Heading1"/>
        <w:rPr>
          <w:rFonts w:ascii="Times New Roman" w:eastAsia="Times New Roman" w:hAnsi="Times New Roman" w:cs="Times New Roman"/>
          <w:sz w:val="28"/>
          <w:szCs w:val="28"/>
        </w:rPr>
      </w:pPr>
      <w:bookmarkStart w:id="9" w:name="_Toc381305816"/>
      <w:bookmarkStart w:id="10" w:name="_Toc381305978"/>
      <w:bookmarkStart w:id="11" w:name="_Toc381457516"/>
      <w:bookmarkStart w:id="12" w:name="_Toc381471919"/>
      <w:r w:rsidRPr="009E129D">
        <w:rPr>
          <w:rFonts w:ascii="Times New Roman" w:eastAsia="Times New Roman" w:hAnsi="Times New Roman" w:cs="Times New Roman"/>
          <w:sz w:val="28"/>
          <w:szCs w:val="28"/>
        </w:rPr>
        <w:t>In Late-19</w:t>
      </w:r>
      <w:r w:rsidRPr="009E129D">
        <w:rPr>
          <w:rFonts w:ascii="Times New Roman" w:eastAsia="Times New Roman" w:hAnsi="Times New Roman" w:cs="Times New Roman"/>
          <w:sz w:val="28"/>
          <w:szCs w:val="28"/>
          <w:vertAlign w:val="superscript"/>
        </w:rPr>
        <w:t>th</w:t>
      </w:r>
      <w:r w:rsidRPr="009E129D">
        <w:rPr>
          <w:rFonts w:ascii="Times New Roman" w:eastAsia="Times New Roman" w:hAnsi="Times New Roman" w:cs="Times New Roman"/>
          <w:sz w:val="28"/>
          <w:szCs w:val="28"/>
        </w:rPr>
        <w:t xml:space="preserve"> Century Qajar </w:t>
      </w:r>
      <w:bookmarkEnd w:id="9"/>
      <w:bookmarkEnd w:id="10"/>
      <w:bookmarkEnd w:id="11"/>
      <w:bookmarkEnd w:id="12"/>
      <w:r w:rsidR="005B7F9D">
        <w:rPr>
          <w:rFonts w:ascii="Times New Roman" w:eastAsia="Times New Roman" w:hAnsi="Times New Roman" w:cs="Times New Roman"/>
          <w:sz w:val="28"/>
          <w:szCs w:val="28"/>
        </w:rPr>
        <w:t>Iran</w:t>
      </w:r>
    </w:p>
    <w:bookmarkEnd w:id="4"/>
    <w:p w14:paraId="107D1901" w14:textId="77777777" w:rsidR="00F34A03" w:rsidRDefault="00F34A03" w:rsidP="00F34A03">
      <w:pPr>
        <w:pStyle w:val="ListParagraph"/>
        <w:ind w:left="0"/>
        <w:jc w:val="both"/>
        <w:rPr>
          <w:rStyle w:val="textexposedshow"/>
          <w:rFonts w:eastAsia="Times New Roman"/>
        </w:rPr>
      </w:pPr>
    </w:p>
    <w:p w14:paraId="2A34FF7A" w14:textId="77777777" w:rsidR="00F34A03" w:rsidRDefault="00F34A03" w:rsidP="00F34A03">
      <w:pPr>
        <w:pStyle w:val="ListParagraph"/>
        <w:spacing w:line="360" w:lineRule="auto"/>
        <w:ind w:left="0"/>
        <w:jc w:val="both"/>
        <w:rPr>
          <w:rFonts w:eastAsia="Times New Roman"/>
          <w:lang w:val="en-CA"/>
        </w:rPr>
      </w:pPr>
      <w:r w:rsidRPr="00FE4D34">
        <w:rPr>
          <w:rStyle w:val="textexposedshow"/>
          <w:rFonts w:eastAsia="Times New Roman"/>
          <w:i/>
        </w:rPr>
        <w:t>The Cosmopolis Harem</w:t>
      </w:r>
      <w:r>
        <w:rPr>
          <w:rStyle w:val="textexposedshow"/>
          <w:rFonts w:eastAsia="Times New Roman"/>
        </w:rPr>
        <w:t xml:space="preserve"> offers a social history of the late Qajar harem during Nasir al-Din Shah’s reign (</w:t>
      </w:r>
      <w:r w:rsidRPr="00915A0A">
        <w:rPr>
          <w:rFonts w:eastAsia="Times New Roman"/>
        </w:rPr>
        <w:t>1848-1896</w:t>
      </w:r>
      <w:r>
        <w:rPr>
          <w:rFonts w:eastAsia="Times New Roman"/>
        </w:rPr>
        <w:t>)</w:t>
      </w:r>
      <w:r>
        <w:rPr>
          <w:rStyle w:val="textexposedshow"/>
          <w:rFonts w:eastAsia="Times New Roman"/>
        </w:rPr>
        <w:t xml:space="preserve"> – a </w:t>
      </w:r>
      <w:r w:rsidRPr="00082907">
        <w:rPr>
          <w:rStyle w:val="textexposedshow"/>
          <w:rFonts w:eastAsia="Times New Roman"/>
        </w:rPr>
        <w:t>wo</w:t>
      </w:r>
      <w:r>
        <w:rPr>
          <w:rStyle w:val="textexposedshow"/>
          <w:rFonts w:eastAsia="Times New Roman"/>
        </w:rPr>
        <w:t>man-dominated homosocial space</w:t>
      </w:r>
      <w:r w:rsidRPr="00082907">
        <w:rPr>
          <w:rStyle w:val="textexposedshow"/>
          <w:rFonts w:eastAsia="Times New Roman"/>
        </w:rPr>
        <w:t>,</w:t>
      </w:r>
      <w:r w:rsidRPr="00B36299">
        <w:rPr>
          <w:rStyle w:val="textexposedshow"/>
          <w:rFonts w:eastAsia="Times New Roman"/>
        </w:rPr>
        <w:t xml:space="preserve"> </w:t>
      </w:r>
      <w:r>
        <w:rPr>
          <w:rStyle w:val="textexposedshow"/>
          <w:rFonts w:eastAsia="Times New Roman"/>
        </w:rPr>
        <w:t xml:space="preserve">housed in a unique domestic institution </w:t>
      </w:r>
      <w:r w:rsidRPr="00632643">
        <w:rPr>
          <w:rFonts w:eastAsia="Times New Roman"/>
          <w:lang w:val="en-CA"/>
        </w:rPr>
        <w:t>where</w:t>
      </w:r>
      <w:r>
        <w:rPr>
          <w:rFonts w:eastAsia="Times New Roman"/>
          <w:lang w:val="en-CA"/>
        </w:rPr>
        <w:t>in</w:t>
      </w:r>
      <w:r w:rsidRPr="00632643">
        <w:rPr>
          <w:rFonts w:eastAsia="Times New Roman"/>
          <w:lang w:val="en-CA"/>
        </w:rPr>
        <w:t xml:space="preserve"> tradition, </w:t>
      </w:r>
      <w:r>
        <w:rPr>
          <w:rFonts w:eastAsia="Times New Roman"/>
          <w:lang w:val="en-CA"/>
        </w:rPr>
        <w:t xml:space="preserve">modernity, </w:t>
      </w:r>
      <w:r w:rsidRPr="00632643">
        <w:rPr>
          <w:rFonts w:eastAsia="Times New Roman"/>
          <w:lang w:val="en-CA"/>
        </w:rPr>
        <w:t>piety</w:t>
      </w:r>
      <w:r>
        <w:rPr>
          <w:rFonts w:eastAsia="Times New Roman"/>
          <w:lang w:val="en-CA"/>
        </w:rPr>
        <w:t>, cosmopolitanism, gender, class and racial differences</w:t>
      </w:r>
      <w:r w:rsidRPr="00632643">
        <w:rPr>
          <w:rFonts w:eastAsia="Times New Roman"/>
          <w:lang w:val="en-CA"/>
        </w:rPr>
        <w:t xml:space="preserve"> </w:t>
      </w:r>
      <w:r>
        <w:rPr>
          <w:rFonts w:eastAsia="Times New Roman"/>
          <w:lang w:val="en-CA"/>
        </w:rPr>
        <w:t xml:space="preserve">were negotiated by a host of local and transnational residents and visitors. Specifically, my book </w:t>
      </w:r>
      <w:r w:rsidRPr="00314A02">
        <w:rPr>
          <w:rStyle w:val="textexposedshow"/>
          <w:rFonts w:eastAsia="Times New Roman"/>
        </w:rPr>
        <w:t>focuses on the demographic, physical, topographic, and representational dimensions of Nasser al-Din Shah’s harem, the complex social and familial relations within it, and the everyday lives of its constituents.</w:t>
      </w:r>
      <w:r w:rsidRPr="00314A02">
        <w:rPr>
          <w:rFonts w:eastAsia="Times New Roman"/>
          <w:lang w:val="en-CA"/>
        </w:rPr>
        <w:t xml:space="preserve"> </w:t>
      </w:r>
    </w:p>
    <w:p w14:paraId="4E39A311" w14:textId="77777777" w:rsidR="00F34A03" w:rsidRPr="003175DF" w:rsidRDefault="00F34A03" w:rsidP="00F34A03">
      <w:pPr>
        <w:pStyle w:val="ListParagraph"/>
        <w:spacing w:line="360" w:lineRule="auto"/>
        <w:ind w:left="0"/>
        <w:jc w:val="both"/>
        <w:rPr>
          <w:rFonts w:eastAsia="Times New Roman"/>
          <w:lang w:val="en-CA"/>
        </w:rPr>
      </w:pPr>
    </w:p>
    <w:p w14:paraId="1431A26A" w14:textId="4E3ED82C" w:rsidR="00F34A03" w:rsidRDefault="00F34A03" w:rsidP="00F34A03">
      <w:pPr>
        <w:spacing w:line="360" w:lineRule="auto"/>
        <w:jc w:val="both"/>
        <w:rPr>
          <w:lang w:bidi="fa-IR"/>
        </w:rPr>
      </w:pPr>
      <w:r>
        <w:t>The late-</w:t>
      </w:r>
      <w:r w:rsidRPr="004D2E5A">
        <w:t>Qajar</w:t>
      </w:r>
      <w:r>
        <w:t xml:space="preserve"> royal</w:t>
      </w:r>
      <w:r w:rsidRPr="004D2E5A">
        <w:t xml:space="preserve"> harem is a rich site for the study of the historical, cultural, </w:t>
      </w:r>
      <w:r>
        <w:t xml:space="preserve">spatial </w:t>
      </w:r>
      <w:r w:rsidRPr="004D2E5A">
        <w:t xml:space="preserve">and gendered entanglements within </w:t>
      </w:r>
      <w:r>
        <w:t>the 19</w:t>
      </w:r>
      <w:r w:rsidRPr="00AB32CB">
        <w:rPr>
          <w:vertAlign w:val="superscript"/>
        </w:rPr>
        <w:t>th</w:t>
      </w:r>
      <w:r>
        <w:t xml:space="preserve"> century </w:t>
      </w:r>
      <w:r w:rsidRPr="004D2E5A">
        <w:t>Iranian modernization project.</w:t>
      </w:r>
      <w:r w:rsidRPr="004D2E5A">
        <w:rPr>
          <w:rFonts w:eastAsia="Times New Roman"/>
        </w:rPr>
        <w:t xml:space="preserve"> For its time,</w:t>
      </w:r>
      <w:r>
        <w:rPr>
          <w:rFonts w:eastAsia="Times New Roman"/>
        </w:rPr>
        <w:t xml:space="preserve"> the complex social structure and</w:t>
      </w:r>
      <w:r w:rsidRPr="004D2E5A">
        <w:rPr>
          <w:rFonts w:eastAsia="Times New Roman"/>
        </w:rPr>
        <w:t xml:space="preserve"> </w:t>
      </w:r>
      <w:r w:rsidRPr="004D2E5A">
        <w:t>demographic heterogeneity within the Gulistan harem was quite unique, as it housed residents from various parts of the empire</w:t>
      </w:r>
      <w:r>
        <w:t>, as well as</w:t>
      </w:r>
      <w:r w:rsidRPr="004D2E5A">
        <w:t xml:space="preserve"> a </w:t>
      </w:r>
      <w:r>
        <w:t xml:space="preserve">large population </w:t>
      </w:r>
      <w:r w:rsidRPr="004D2E5A">
        <w:t>of migrant</w:t>
      </w:r>
      <w:r w:rsidR="00167621">
        <w:t xml:space="preserve"> and enslaved</w:t>
      </w:r>
      <w:r w:rsidRPr="004D2E5A">
        <w:t xml:space="preserve"> laborers from interregional networks</w:t>
      </w:r>
      <w:r>
        <w:t>.</w:t>
      </w:r>
      <w:r w:rsidRPr="004D2E5A">
        <w:t xml:space="preserve"> </w:t>
      </w:r>
      <w:r>
        <w:t xml:space="preserve">The institution was also the object of fascination, study, and sometimes, the destination for a host of </w:t>
      </w:r>
      <w:r w:rsidRPr="004D2E5A">
        <w:t>elite local and international visitors</w:t>
      </w:r>
      <w:r>
        <w:t>, many of whom left accounts of their impressions and observations</w:t>
      </w:r>
      <w:r w:rsidRPr="004D2E5A">
        <w:t xml:space="preserve">. </w:t>
      </w:r>
      <w:r>
        <w:rPr>
          <w:lang w:bidi="fa-IR"/>
        </w:rPr>
        <w:t xml:space="preserve">While </w:t>
      </w:r>
      <w:r w:rsidRPr="004D2E5A">
        <w:rPr>
          <w:lang w:bidi="fa-IR"/>
        </w:rPr>
        <w:t>Nassir al-Din Shah’s harem is one of the most well-documented and ubiquitous women-dominated spaces of 19</w:t>
      </w:r>
      <w:r w:rsidRPr="004D2E5A">
        <w:rPr>
          <w:vertAlign w:val="superscript"/>
          <w:lang w:bidi="fa-IR"/>
        </w:rPr>
        <w:t>th</w:t>
      </w:r>
      <w:r w:rsidRPr="004D2E5A">
        <w:rPr>
          <w:lang w:bidi="fa-IR"/>
        </w:rPr>
        <w:t xml:space="preserve"> century </w:t>
      </w:r>
      <w:r>
        <w:rPr>
          <w:lang w:bidi="fa-IR"/>
        </w:rPr>
        <w:t xml:space="preserve">Tehran, </w:t>
      </w:r>
      <w:r w:rsidRPr="004D2E5A">
        <w:rPr>
          <w:lang w:bidi="fa-IR"/>
        </w:rPr>
        <w:t>its actual social history is buried under large amounts of political</w:t>
      </w:r>
      <w:r>
        <w:rPr>
          <w:lang w:bidi="fa-IR"/>
        </w:rPr>
        <w:t>ly</w:t>
      </w:r>
      <w:r w:rsidRPr="004D2E5A">
        <w:rPr>
          <w:lang w:bidi="fa-IR"/>
        </w:rPr>
        <w:t xml:space="preserve"> and ideologically driven mythical narratives. The hypervisibility of Qajar harem women in the cultural memory of Iranians is in part constructed through the multiple representations of them which have continued to circulate to this day: European writing about Qajar Iran, as well as early Iranian photographs, often taken by Nassir al-Din himself, are two of the primary sites which represent this space and its constituents.  These accounts and images have served as source mat</w:t>
      </w:r>
      <w:r>
        <w:rPr>
          <w:lang w:bidi="fa-IR"/>
        </w:rPr>
        <w:t xml:space="preserve">erials, </w:t>
      </w:r>
      <w:r w:rsidRPr="004D2E5A">
        <w:rPr>
          <w:lang w:bidi="fa-IR"/>
        </w:rPr>
        <w:t>which have continuously re-circulate</w:t>
      </w:r>
      <w:r>
        <w:rPr>
          <w:lang w:bidi="fa-IR"/>
        </w:rPr>
        <w:t>d</w:t>
      </w:r>
      <w:r w:rsidRPr="004D2E5A">
        <w:rPr>
          <w:lang w:bidi="fa-IR"/>
        </w:rPr>
        <w:t xml:space="preserve"> within various cultural registers and popular historical imagination. The</w:t>
      </w:r>
      <w:r>
        <w:rPr>
          <w:lang w:bidi="fa-IR"/>
        </w:rPr>
        <w:t>ir proliferation</w:t>
      </w:r>
      <w:r w:rsidRPr="004D2E5A">
        <w:rPr>
          <w:lang w:bidi="fa-IR"/>
        </w:rPr>
        <w:t xml:space="preserve">, however, </w:t>
      </w:r>
      <w:r>
        <w:rPr>
          <w:lang w:bidi="fa-IR"/>
        </w:rPr>
        <w:t>is</w:t>
      </w:r>
      <w:r w:rsidRPr="004D2E5A">
        <w:rPr>
          <w:lang w:bidi="fa-IR"/>
        </w:rPr>
        <w:t xml:space="preserve"> in contrast to the absence of scholarly accounts of Qajar harem in the historiography of </w:t>
      </w:r>
      <w:r>
        <w:rPr>
          <w:lang w:bidi="fa-IR"/>
        </w:rPr>
        <w:t>late-Qajar</w:t>
      </w:r>
      <w:r w:rsidRPr="004D2E5A">
        <w:rPr>
          <w:lang w:bidi="fa-IR"/>
        </w:rPr>
        <w:t xml:space="preserve"> Iran</w:t>
      </w:r>
      <w:r>
        <w:rPr>
          <w:lang w:bidi="fa-IR"/>
        </w:rPr>
        <w:t>.</w:t>
      </w:r>
      <w:r w:rsidRPr="004D2E5A">
        <w:rPr>
          <w:lang w:bidi="fa-IR"/>
        </w:rPr>
        <w:t xml:space="preserve"> </w:t>
      </w:r>
      <w:r>
        <w:rPr>
          <w:lang w:bidi="fa-IR"/>
        </w:rPr>
        <w:t>My book project responds to this historiographical gap, by offering an interdisciplinary social history of the Qajar harem.</w:t>
      </w:r>
    </w:p>
    <w:p w14:paraId="5C25700F" w14:textId="01CA77C0" w:rsidR="00CB1910" w:rsidRDefault="00F34A03" w:rsidP="007402FE">
      <w:pPr>
        <w:spacing w:line="360" w:lineRule="auto"/>
        <w:jc w:val="both"/>
        <w:rPr>
          <w:rFonts w:eastAsia="Times New Roman"/>
        </w:rPr>
      </w:pPr>
      <w:r w:rsidRPr="004D2E5A">
        <w:rPr>
          <w:rFonts w:eastAsia="Times New Roman"/>
        </w:rPr>
        <w:lastRenderedPageBreak/>
        <w:t xml:space="preserve">Located within the ever-expanding Gulistan Palace, and in the heart of </w:t>
      </w:r>
      <w:r>
        <w:rPr>
          <w:rFonts w:eastAsia="Times New Roman"/>
        </w:rPr>
        <w:t xml:space="preserve">a developing </w:t>
      </w:r>
      <w:r w:rsidRPr="004D2E5A">
        <w:rPr>
          <w:rFonts w:eastAsia="Times New Roman"/>
        </w:rPr>
        <w:t>Tehran, the Gulistan harem was physically and socially structured around a set of extremely rigid hierarchies, based on</w:t>
      </w:r>
      <w:r>
        <w:rPr>
          <w:rFonts w:eastAsia="Times New Roman"/>
        </w:rPr>
        <w:t xml:space="preserve"> both</w:t>
      </w:r>
      <w:r w:rsidRPr="004D2E5A">
        <w:rPr>
          <w:rFonts w:eastAsia="Times New Roman"/>
        </w:rPr>
        <w:t xml:space="preserve"> Islamic and Iranian traditions, which were often undermined by various affective bonds, developed through relations of proximity</w:t>
      </w:r>
      <w:r>
        <w:rPr>
          <w:rFonts w:eastAsia="Times New Roman"/>
        </w:rPr>
        <w:t>,</w:t>
      </w:r>
      <w:r w:rsidRPr="004D2E5A">
        <w:rPr>
          <w:rFonts w:eastAsia="Times New Roman"/>
        </w:rPr>
        <w:t xml:space="preserve"> and</w:t>
      </w:r>
      <w:r>
        <w:rPr>
          <w:rFonts w:eastAsia="Times New Roman"/>
        </w:rPr>
        <w:t xml:space="preserve"> sometimes</w:t>
      </w:r>
      <w:r w:rsidRPr="004D2E5A">
        <w:rPr>
          <w:rFonts w:eastAsia="Times New Roman"/>
        </w:rPr>
        <w:t xml:space="preserve"> cunning negotiations. </w:t>
      </w:r>
      <w:r w:rsidRPr="004D2E5A">
        <w:rPr>
          <w:rStyle w:val="textexposedshow"/>
          <w:rFonts w:eastAsia="Times New Roman"/>
        </w:rPr>
        <w:t xml:space="preserve">One of the central arguments that runs throughout this work </w:t>
      </w:r>
      <w:r w:rsidR="001E270B">
        <w:rPr>
          <w:rStyle w:val="textexposedshow"/>
          <w:rFonts w:eastAsia="Times New Roman"/>
        </w:rPr>
        <w:t xml:space="preserve">is that the </w:t>
      </w:r>
      <w:r>
        <w:rPr>
          <w:rStyle w:val="textexposedshow"/>
          <w:rFonts w:eastAsia="Times New Roman"/>
        </w:rPr>
        <w:t>Gulistan</w:t>
      </w:r>
      <w:r w:rsidR="001E270B">
        <w:rPr>
          <w:rStyle w:val="textexposedshow"/>
          <w:rFonts w:eastAsia="Times New Roman"/>
        </w:rPr>
        <w:t xml:space="preserve"> harem</w:t>
      </w:r>
      <w:r w:rsidRPr="004D2E5A">
        <w:rPr>
          <w:rStyle w:val="textexposedshow"/>
          <w:rFonts w:eastAsia="Times New Roman"/>
        </w:rPr>
        <w:t xml:space="preserve"> </w:t>
      </w:r>
      <w:r w:rsidR="001E270B">
        <w:rPr>
          <w:rStyle w:val="textexposedshow"/>
          <w:rFonts w:eastAsia="Times New Roman"/>
        </w:rPr>
        <w:t xml:space="preserve">was </w:t>
      </w:r>
      <w:r w:rsidRPr="004D2E5A">
        <w:rPr>
          <w:rStyle w:val="textexposedshow"/>
          <w:rFonts w:eastAsia="Times New Roman"/>
        </w:rPr>
        <w:t>one of the central loci of nego</w:t>
      </w:r>
      <w:r>
        <w:rPr>
          <w:rStyle w:val="textexposedshow"/>
          <w:rFonts w:eastAsia="Times New Roman"/>
        </w:rPr>
        <w:t>tiations with modernity in late-</w:t>
      </w:r>
      <w:r w:rsidRPr="004D2E5A">
        <w:rPr>
          <w:rStyle w:val="textexposedshow"/>
          <w:rFonts w:eastAsia="Times New Roman"/>
        </w:rPr>
        <w:t>19</w:t>
      </w:r>
      <w:r w:rsidRPr="004D2E5A">
        <w:rPr>
          <w:rStyle w:val="textexposedshow"/>
          <w:rFonts w:eastAsia="Times New Roman"/>
          <w:vertAlign w:val="superscript"/>
        </w:rPr>
        <w:t>th</w:t>
      </w:r>
      <w:r w:rsidRPr="004D2E5A">
        <w:rPr>
          <w:rStyle w:val="textexposedshow"/>
          <w:rFonts w:eastAsia="Times New Roman"/>
        </w:rPr>
        <w:t xml:space="preserve"> century urban Tehran. </w:t>
      </w:r>
      <w:r w:rsidRPr="004D2E5A">
        <w:t xml:space="preserve">Throughout </w:t>
      </w:r>
      <w:r w:rsidR="00DC24DE">
        <w:t>the</w:t>
      </w:r>
      <w:r>
        <w:t xml:space="preserve"> manuscript</w:t>
      </w:r>
      <w:r w:rsidRPr="004D2E5A">
        <w:t>, I</w:t>
      </w:r>
      <w:r>
        <w:t xml:space="preserve"> </w:t>
      </w:r>
      <w:r w:rsidRPr="004D2E5A">
        <w:t>examine the complex</w:t>
      </w:r>
      <w:r w:rsidRPr="004D2E5A">
        <w:rPr>
          <w:rFonts w:eastAsia="Times New Roman"/>
        </w:rPr>
        <w:t xml:space="preserve"> </w:t>
      </w:r>
      <w:r>
        <w:rPr>
          <w:rFonts w:eastAsia="Times New Roman"/>
        </w:rPr>
        <w:t xml:space="preserve">social and physical </w:t>
      </w:r>
      <w:r w:rsidRPr="004D2E5A">
        <w:rPr>
          <w:rFonts w:eastAsia="Times New Roman"/>
        </w:rPr>
        <w:t>structure of this institution</w:t>
      </w:r>
      <w:r>
        <w:rPr>
          <w:rFonts w:eastAsia="Times New Roman"/>
        </w:rPr>
        <w:t>,</w:t>
      </w:r>
      <w:r w:rsidRPr="004D2E5A">
        <w:rPr>
          <w:rFonts w:eastAsia="Times New Roman"/>
        </w:rPr>
        <w:t xml:space="preserve"> and the everyday life of its residents—at various points estimated to be between 700 and 2000 wives and female relatives, as well as different classes of employees</w:t>
      </w:r>
      <w:r w:rsidRPr="004D2E5A">
        <w:rPr>
          <w:rFonts w:eastAsia="Times New Roman"/>
        </w:rPr>
        <w:softHyphen/>
        <w:t xml:space="preserve">—from physicians and translators, to servants, maids, slaves, and eunuchs. </w:t>
      </w:r>
    </w:p>
    <w:p w14:paraId="4F60B473" w14:textId="77777777" w:rsidR="007402FE" w:rsidRPr="00CB1910" w:rsidRDefault="007402FE" w:rsidP="007402FE">
      <w:pPr>
        <w:spacing w:line="360" w:lineRule="auto"/>
        <w:jc w:val="both"/>
        <w:rPr>
          <w:rFonts w:eastAsia="Times New Roman"/>
        </w:rPr>
      </w:pPr>
    </w:p>
    <w:p w14:paraId="7E78D362" w14:textId="77777777" w:rsidR="00F34A03" w:rsidRPr="00BF7344" w:rsidRDefault="00F34A03" w:rsidP="00F34A03">
      <w:pPr>
        <w:spacing w:line="360" w:lineRule="auto"/>
        <w:jc w:val="both"/>
        <w:rPr>
          <w:rFonts w:eastAsia="Times New Roman"/>
          <w:b/>
          <w:bCs/>
        </w:rPr>
      </w:pPr>
      <w:r w:rsidRPr="00BF7344">
        <w:rPr>
          <w:rFonts w:eastAsia="Times New Roman"/>
          <w:b/>
          <w:bCs/>
        </w:rPr>
        <w:t>Chapter Breakdown</w:t>
      </w:r>
    </w:p>
    <w:p w14:paraId="7C5243C5" w14:textId="0B1A3658" w:rsidR="00F34A03" w:rsidRDefault="00F34A03" w:rsidP="00F34A03">
      <w:pPr>
        <w:spacing w:line="360" w:lineRule="auto"/>
        <w:jc w:val="both"/>
        <w:rPr>
          <w:rFonts w:eastAsia="Times New Roman"/>
        </w:rPr>
      </w:pPr>
      <w:r>
        <w:rPr>
          <w:rFonts w:eastAsia="Times New Roman"/>
        </w:rPr>
        <w:t>The book</w:t>
      </w:r>
      <w:r w:rsidR="007402FE">
        <w:rPr>
          <w:rFonts w:eastAsia="Times New Roman"/>
        </w:rPr>
        <w:t xml:space="preserve"> relies on over a decade of research in a number of libraries and archives both inside and outside of Iran and</w:t>
      </w:r>
      <w:r>
        <w:rPr>
          <w:rFonts w:eastAsia="Times New Roman"/>
        </w:rPr>
        <w:t xml:space="preserve"> is divided into f</w:t>
      </w:r>
      <w:r w:rsidR="00EA5E5C">
        <w:rPr>
          <w:rFonts w:eastAsia="Times New Roman"/>
        </w:rPr>
        <w:t>ive</w:t>
      </w:r>
      <w:r>
        <w:rPr>
          <w:rFonts w:eastAsia="Times New Roman"/>
        </w:rPr>
        <w:t xml:space="preserve"> chapters. </w:t>
      </w:r>
      <w:r w:rsidRPr="004D2E5A">
        <w:rPr>
          <w:rFonts w:eastAsia="Times New Roman"/>
        </w:rPr>
        <w:t xml:space="preserve">Chapter I </w:t>
      </w:r>
      <w:r>
        <w:rPr>
          <w:rFonts w:eastAsia="Times New Roman"/>
        </w:rPr>
        <w:t>focuses</w:t>
      </w:r>
      <w:r w:rsidRPr="004D2E5A">
        <w:rPr>
          <w:rFonts w:eastAsia="Times New Roman"/>
        </w:rPr>
        <w:t xml:space="preserve"> on the social structure of Nasir al-Din Shah’s harem and the different forms of familial and conjugal relations within it, which were a defining feature of the day-to-day life of its residents. Relying on the works of </w:t>
      </w:r>
      <w:r w:rsidR="008105DD">
        <w:rPr>
          <w:rFonts w:eastAsia="Times New Roman"/>
        </w:rPr>
        <w:t xml:space="preserve">feminist and </w:t>
      </w:r>
      <w:r w:rsidRPr="004D2E5A">
        <w:rPr>
          <w:rFonts w:eastAsia="Times New Roman"/>
        </w:rPr>
        <w:t>new imperial historians</w:t>
      </w:r>
      <w:r>
        <w:rPr>
          <w:rFonts w:eastAsia="Times New Roman"/>
        </w:rPr>
        <w:t xml:space="preserve"> who focus on family and intimacy </w:t>
      </w:r>
      <w:r w:rsidRPr="004D2E5A">
        <w:rPr>
          <w:rFonts w:eastAsia="Times New Roman"/>
        </w:rPr>
        <w:t xml:space="preserve">such as </w:t>
      </w:r>
      <w:proofErr w:type="spellStart"/>
      <w:r w:rsidR="008105DD">
        <w:rPr>
          <w:rFonts w:eastAsia="Times New Roman"/>
        </w:rPr>
        <w:t>Afsaneh</w:t>
      </w:r>
      <w:proofErr w:type="spellEnd"/>
      <w:r w:rsidR="008105DD">
        <w:rPr>
          <w:rFonts w:eastAsia="Times New Roman"/>
        </w:rPr>
        <w:t xml:space="preserve"> </w:t>
      </w:r>
      <w:proofErr w:type="spellStart"/>
      <w:r w:rsidR="008105DD">
        <w:rPr>
          <w:rFonts w:eastAsia="Times New Roman"/>
        </w:rPr>
        <w:t>Najmabadi</w:t>
      </w:r>
      <w:proofErr w:type="spellEnd"/>
      <w:r w:rsidR="008105DD">
        <w:rPr>
          <w:rFonts w:eastAsia="Times New Roman"/>
        </w:rPr>
        <w:t xml:space="preserve">, </w:t>
      </w:r>
      <w:r w:rsidRPr="004D2E5A">
        <w:rPr>
          <w:rFonts w:eastAsia="Times New Roman"/>
        </w:rPr>
        <w:t xml:space="preserve">Ann Laura </w:t>
      </w:r>
      <w:proofErr w:type="spellStart"/>
      <w:r w:rsidRPr="004D2E5A">
        <w:rPr>
          <w:rFonts w:eastAsia="Times New Roman"/>
        </w:rPr>
        <w:t>Stoler</w:t>
      </w:r>
      <w:proofErr w:type="spellEnd"/>
      <w:r w:rsidRPr="004D2E5A">
        <w:rPr>
          <w:rFonts w:eastAsia="Times New Roman"/>
        </w:rPr>
        <w:t xml:space="preserve"> and </w:t>
      </w:r>
      <w:proofErr w:type="spellStart"/>
      <w:r w:rsidRPr="004D2E5A">
        <w:rPr>
          <w:rFonts w:eastAsia="Times New Roman"/>
        </w:rPr>
        <w:t>Durba</w:t>
      </w:r>
      <w:proofErr w:type="spellEnd"/>
      <w:r w:rsidRPr="004D2E5A">
        <w:rPr>
          <w:rFonts w:eastAsia="Times New Roman"/>
        </w:rPr>
        <w:t xml:space="preserve"> Ghosh, the chapter engages in a deep reading of how affective attachments across social class, as well as gender and racial boundaries, were a common occurrence in the Qajar harem, and mark this space as a unique and heterotopic site of female community, homosocial bonding, and extended kinship networks that formed contemporaneously with processes of modernization, which were also an inherent feature of daily life within this institution. This chapter introduces</w:t>
      </w:r>
      <w:r>
        <w:rPr>
          <w:rFonts w:eastAsia="Times New Roman"/>
        </w:rPr>
        <w:t xml:space="preserve"> the late-</w:t>
      </w:r>
      <w:r w:rsidRPr="004D2E5A">
        <w:rPr>
          <w:rFonts w:eastAsia="Times New Roman"/>
        </w:rPr>
        <w:t>Qajar harem as a</w:t>
      </w:r>
      <w:r>
        <w:rPr>
          <w:rFonts w:eastAsia="Times New Roman"/>
        </w:rPr>
        <w:t xml:space="preserve"> familial space, and a</w:t>
      </w:r>
      <w:r w:rsidRPr="004D2E5A">
        <w:rPr>
          <w:rFonts w:eastAsia="Times New Roman"/>
        </w:rPr>
        <w:t xml:space="preserve"> laboratory of</w:t>
      </w:r>
      <w:r>
        <w:rPr>
          <w:rFonts w:eastAsia="Times New Roman"/>
        </w:rPr>
        <w:t xml:space="preserve"> transnational</w:t>
      </w:r>
      <w:r w:rsidRPr="004D2E5A">
        <w:rPr>
          <w:rFonts w:eastAsia="Times New Roman"/>
        </w:rPr>
        <w:t xml:space="preserve"> encounters with modernity, where European culture and artifacts were variously integrated and rejected.</w:t>
      </w:r>
    </w:p>
    <w:p w14:paraId="7AFECF6E" w14:textId="77777777" w:rsidR="00F34A03" w:rsidRPr="004D2E5A" w:rsidRDefault="00F34A03" w:rsidP="00F34A03">
      <w:pPr>
        <w:spacing w:line="360" w:lineRule="auto"/>
        <w:jc w:val="both"/>
        <w:rPr>
          <w:rFonts w:eastAsia="Times New Roman"/>
        </w:rPr>
      </w:pPr>
    </w:p>
    <w:p w14:paraId="1C689A56" w14:textId="0FF718D4" w:rsidR="00F34A03" w:rsidRDefault="00F34A03" w:rsidP="00F34A03">
      <w:pPr>
        <w:spacing w:line="360" w:lineRule="auto"/>
        <w:jc w:val="both"/>
        <w:rPr>
          <w:lang w:eastAsia="ja-JP"/>
        </w:rPr>
      </w:pPr>
      <w:r w:rsidRPr="004D2E5A">
        <w:t>Chapter II emphasize</w:t>
      </w:r>
      <w:r>
        <w:t>s</w:t>
      </w:r>
      <w:r w:rsidRPr="004D2E5A">
        <w:t xml:space="preserve"> and analyze</w:t>
      </w:r>
      <w:r>
        <w:t>s</w:t>
      </w:r>
      <w:r w:rsidRPr="004D2E5A">
        <w:t xml:space="preserve"> the specificity of Gulistan Palace’s physical space, its topographic legacy, and its concurrent expansion and development in the second half of the 19</w:t>
      </w:r>
      <w:r w:rsidRPr="004D2E5A">
        <w:rPr>
          <w:vertAlign w:val="superscript"/>
        </w:rPr>
        <w:t>th</w:t>
      </w:r>
      <w:r w:rsidRPr="004D2E5A">
        <w:t xml:space="preserve"> century along with Tehran’s rapid modernization project.</w:t>
      </w:r>
      <w:r w:rsidRPr="004D2E5A">
        <w:rPr>
          <w:rFonts w:eastAsia="Times New Roman"/>
          <w:color w:val="000000"/>
        </w:rPr>
        <w:t xml:space="preserve"> </w:t>
      </w:r>
      <w:r>
        <w:rPr>
          <w:rStyle w:val="4n-j"/>
          <w:rFonts w:eastAsia="Times New Roman"/>
        </w:rPr>
        <w:t>Despite being l</w:t>
      </w:r>
      <w:r w:rsidRPr="004D2E5A">
        <w:rPr>
          <w:rStyle w:val="4n-j"/>
          <w:rFonts w:eastAsia="Times New Roman"/>
        </w:rPr>
        <w:t xml:space="preserve">ocated in </w:t>
      </w:r>
      <w:r w:rsidRPr="004D2E5A">
        <w:rPr>
          <w:rStyle w:val="4n-j"/>
          <w:rFonts w:eastAsia="Times New Roman"/>
        </w:rPr>
        <w:lastRenderedPageBreak/>
        <w:t>what was at the time the historical core of the capital of the empire, and steps away from iconic institutions including the Grand Bazaar and</w:t>
      </w:r>
      <w:r w:rsidRPr="004D2E5A">
        <w:t xml:space="preserve"> </w:t>
      </w:r>
      <w:r w:rsidRPr="004D2E5A">
        <w:rPr>
          <w:rFonts w:eastAsia="Times New Roman"/>
        </w:rPr>
        <w:t>Dar al-</w:t>
      </w:r>
      <w:proofErr w:type="spellStart"/>
      <w:r w:rsidRPr="004D2E5A">
        <w:rPr>
          <w:rFonts w:eastAsia="Times New Roman"/>
        </w:rPr>
        <w:t>Fanun</w:t>
      </w:r>
      <w:proofErr w:type="spellEnd"/>
      <w:r w:rsidRPr="004D2E5A">
        <w:t xml:space="preserve"> University, </w:t>
      </w:r>
      <w:r w:rsidRPr="004D2E5A">
        <w:rPr>
          <w:rFonts w:eastAsia="Times New Roman"/>
        </w:rPr>
        <w:t xml:space="preserve">the Gulistan </w:t>
      </w:r>
      <w:proofErr w:type="spellStart"/>
      <w:r w:rsidRPr="004D2E5A">
        <w:rPr>
          <w:rFonts w:eastAsia="Times New Roman"/>
          <w:i/>
        </w:rPr>
        <w:t>andarun</w:t>
      </w:r>
      <w:proofErr w:type="spellEnd"/>
      <w:r w:rsidRPr="004D2E5A">
        <w:rPr>
          <w:rStyle w:val="textexposedshow"/>
          <w:rFonts w:eastAsia="Times New Roman"/>
        </w:rPr>
        <w:t xml:space="preserve">, has been relegated to an outdated and traditional institution, associated with a deeply gendered division </w:t>
      </w:r>
      <w:r>
        <w:rPr>
          <w:rStyle w:val="textexposedshow"/>
          <w:rFonts w:eastAsia="Times New Roman"/>
        </w:rPr>
        <w:t>between private and public life</w:t>
      </w:r>
      <w:r w:rsidRPr="004D2E5A">
        <w:rPr>
          <w:rStyle w:val="textexposedshow"/>
          <w:rFonts w:eastAsia="Times New Roman"/>
        </w:rPr>
        <w:t xml:space="preserve">. In this chapter, I offer a different account </w:t>
      </w:r>
      <w:r>
        <w:rPr>
          <w:rStyle w:val="textexposedshow"/>
          <w:rFonts w:eastAsia="Times New Roman"/>
        </w:rPr>
        <w:t>of the institution as a deeply cosmopolitan space through looking at</w:t>
      </w:r>
      <w:r w:rsidRPr="004D2E5A">
        <w:rPr>
          <w:rStyle w:val="textexposedshow"/>
          <w:rFonts w:eastAsia="Times New Roman"/>
        </w:rPr>
        <w:t xml:space="preserve"> </w:t>
      </w:r>
      <w:r w:rsidR="00303177">
        <w:rPr>
          <w:rStyle w:val="textexposedshow"/>
          <w:rFonts w:eastAsia="Times New Roman"/>
        </w:rPr>
        <w:t xml:space="preserve">its spatial organization and </w:t>
      </w:r>
      <w:r w:rsidRPr="004D2E5A">
        <w:rPr>
          <w:rStyle w:val="textexposedshow"/>
          <w:rFonts w:eastAsia="Times New Roman"/>
        </w:rPr>
        <w:t xml:space="preserve">the ways in which different bodies, ideologies, and commodities were distributed within and outside of its physical boundaries. The chapter </w:t>
      </w:r>
      <w:r>
        <w:rPr>
          <w:lang w:eastAsia="ja-JP"/>
        </w:rPr>
        <w:t xml:space="preserve">interrogates </w:t>
      </w:r>
      <w:r w:rsidRPr="004D2E5A">
        <w:rPr>
          <w:lang w:eastAsia="ja-JP"/>
        </w:rPr>
        <w:t>what constituted private, interior, and domestic spaces, respectively, when speaking of the royal Qajar harem—a space composed of multiple homes within a larger palace, which was the administrative center of Qajar rule, and in the heart of an expanding Tehran.</w:t>
      </w:r>
    </w:p>
    <w:p w14:paraId="73F593F4" w14:textId="77777777" w:rsidR="00F34A03" w:rsidRPr="004D2E5A" w:rsidRDefault="00F34A03" w:rsidP="00F34A03">
      <w:pPr>
        <w:spacing w:line="360" w:lineRule="auto"/>
        <w:jc w:val="both"/>
        <w:rPr>
          <w:lang w:eastAsia="ja-JP"/>
        </w:rPr>
      </w:pPr>
    </w:p>
    <w:p w14:paraId="2F39F91E" w14:textId="701737C5" w:rsidR="00F34A03" w:rsidRDefault="00F34A03" w:rsidP="00F34A03">
      <w:pPr>
        <w:widowControl w:val="0"/>
        <w:autoSpaceDE w:val="0"/>
        <w:autoSpaceDN w:val="0"/>
        <w:adjustRightInd w:val="0"/>
        <w:spacing w:line="360" w:lineRule="auto"/>
        <w:jc w:val="both"/>
      </w:pPr>
      <w:r w:rsidRPr="00736AAC">
        <w:t xml:space="preserve">Chapter III </w:t>
      </w:r>
      <w:r>
        <w:t>examines</w:t>
      </w:r>
      <w:r w:rsidRPr="00736AAC">
        <w:t xml:space="preserve"> the differing classes of maids, servants, and slaves that resided and worked within the royal palace, and traces their history in parallel to the history of slavery in Iran. </w:t>
      </w:r>
      <w:r w:rsidRPr="004D2E5A">
        <w:t>Many of the servants and eunuchs which were a part of this institution were brought to Iran either after being captured in war, or were imported through an expanding Persian Gulf slave trade in the last decades of the 19</w:t>
      </w:r>
      <w:r w:rsidRPr="004D2E5A">
        <w:rPr>
          <w:vertAlign w:val="superscript"/>
        </w:rPr>
        <w:t>th</w:t>
      </w:r>
      <w:r w:rsidRPr="004D2E5A">
        <w:t xml:space="preserve"> century. These specific classes of residents reveal a great deal about </w:t>
      </w:r>
      <w:r>
        <w:t xml:space="preserve">geo-political negotiations, </w:t>
      </w:r>
      <w:r w:rsidRPr="004D2E5A">
        <w:t>interregional networks</w:t>
      </w:r>
      <w:r>
        <w:t>,</w:t>
      </w:r>
      <w:r w:rsidRPr="004D2E5A">
        <w:t xml:space="preserve"> and the various forms of migration w</w:t>
      </w:r>
      <w:r>
        <w:t>ithin them during the period. Inside the harem, these individuals were incorporated into the larger population of Gulistan as different classes of laborers, working in various capacities such as maids, teachers, wet nurses, nannies, cooks, or harem guards.</w:t>
      </w:r>
      <w:r w:rsidRPr="008B5269">
        <w:t xml:space="preserve"> </w:t>
      </w:r>
      <w:r>
        <w:t>This chapter takes</w:t>
      </w:r>
      <w:r w:rsidRPr="008E6287">
        <w:t xml:space="preserve"> up the category of court and harem servants, </w:t>
      </w:r>
      <w:r>
        <w:t xml:space="preserve">many of </w:t>
      </w:r>
      <w:r w:rsidRPr="008E6287">
        <w:t>whom were initially brought in as sl</w:t>
      </w:r>
      <w:r>
        <w:t>a</w:t>
      </w:r>
      <w:r w:rsidRPr="008E6287">
        <w:t>ves</w:t>
      </w:r>
      <w:r>
        <w:t>, and examine them as</w:t>
      </w:r>
      <w:r w:rsidRPr="008E6287">
        <w:t xml:space="preserve"> liminal figures</w:t>
      </w:r>
      <w:r w:rsidR="00DC24DE">
        <w:t xml:space="preserve"> </w:t>
      </w:r>
      <w:r w:rsidRPr="008E6287">
        <w:t xml:space="preserve">within the broader population of court and harem residents, </w:t>
      </w:r>
      <w:r w:rsidR="00DC24DE">
        <w:t xml:space="preserve">who </w:t>
      </w:r>
      <w:r w:rsidR="00B70216">
        <w:t xml:space="preserve">often </w:t>
      </w:r>
      <w:r w:rsidRPr="008E6287">
        <w:t xml:space="preserve">navigated </w:t>
      </w:r>
      <w:r w:rsidR="00DC24DE">
        <w:t>their</w:t>
      </w:r>
      <w:r w:rsidRPr="008E6287">
        <w:t xml:space="preserve"> position</w:t>
      </w:r>
      <w:r w:rsidR="00B70216">
        <w:t xml:space="preserve"> </w:t>
      </w:r>
      <w:r w:rsidR="00DC24DE">
        <w:t>in</w:t>
      </w:r>
      <w:r w:rsidR="00DC24DE" w:rsidRPr="008E6287">
        <w:t xml:space="preserve"> ways </w:t>
      </w:r>
      <w:r w:rsidR="00DC24DE">
        <w:t>which allowed them to seek agency and power</w:t>
      </w:r>
      <w:r>
        <w:t xml:space="preserve">. </w:t>
      </w:r>
      <w:r w:rsidR="00DC24DE">
        <w:t>I argue that c</w:t>
      </w:r>
      <w:r>
        <w:t>ourt servants participate</w:t>
      </w:r>
      <w:r w:rsidR="00DC24DE">
        <w:t>d</w:t>
      </w:r>
      <w:r>
        <w:t xml:space="preserve"> in the affective economy of Gulistan Palace in a myriad of complex ways, often within profoundly uneven power relations. </w:t>
      </w:r>
      <w:r w:rsidRPr="008E6287">
        <w:t>This chapter attempts to write such figures back in as core constituents of Gulistan Palace.</w:t>
      </w:r>
    </w:p>
    <w:p w14:paraId="5E16C8F1" w14:textId="77777777" w:rsidR="00F34A03" w:rsidRPr="004D2E5A" w:rsidRDefault="00F34A03" w:rsidP="00F34A03">
      <w:pPr>
        <w:spacing w:line="360" w:lineRule="auto"/>
        <w:jc w:val="both"/>
        <w:rPr>
          <w:rFonts w:eastAsia="Times New Roman"/>
        </w:rPr>
      </w:pPr>
    </w:p>
    <w:p w14:paraId="2B27A59C" w14:textId="7096BEC9" w:rsidR="00F34A03" w:rsidRPr="00CB0266" w:rsidRDefault="00F34A03" w:rsidP="00F34A03">
      <w:pPr>
        <w:spacing w:line="360" w:lineRule="auto"/>
        <w:jc w:val="both"/>
        <w:rPr>
          <w:rFonts w:eastAsia="Times New Roman"/>
        </w:rPr>
      </w:pPr>
      <w:r w:rsidRPr="004D2E5A">
        <w:rPr>
          <w:rFonts w:eastAsia="Times New Roman"/>
        </w:rPr>
        <w:t xml:space="preserve">Chapter IV </w:t>
      </w:r>
      <w:r>
        <w:rPr>
          <w:rFonts w:eastAsia="Times New Roman"/>
        </w:rPr>
        <w:t>interrogates</w:t>
      </w:r>
      <w:r w:rsidRPr="004D2E5A">
        <w:rPr>
          <w:rFonts w:eastAsia="Times New Roman"/>
        </w:rPr>
        <w:t xml:space="preserve"> the various representations of Nasir al-Din Shah’s harem in both European and native accounts of the institution from the period. </w:t>
      </w:r>
      <w:r w:rsidRPr="004D2E5A">
        <w:t xml:space="preserve">My emphasis </w:t>
      </w:r>
      <w:r>
        <w:t>is</w:t>
      </w:r>
      <w:r w:rsidRPr="004D2E5A">
        <w:t xml:space="preserve"> on the conceptual and descriptive accounts of </w:t>
      </w:r>
      <w:r>
        <w:t>the</w:t>
      </w:r>
      <w:r w:rsidRPr="004D2E5A">
        <w:t xml:space="preserve"> harem, as shaped and represented by various </w:t>
      </w:r>
      <w:r w:rsidRPr="004D2E5A">
        <w:lastRenderedPageBreak/>
        <w:t xml:space="preserve">narratives and archives, and what they tell us about the different kinds of investments that </w:t>
      </w:r>
      <w:r w:rsidR="00B70216">
        <w:t>different</w:t>
      </w:r>
      <w:r w:rsidRPr="004D2E5A">
        <w:t xml:space="preserve"> parties had in this space. </w:t>
      </w:r>
      <w:r w:rsidRPr="00B70D92">
        <w:rPr>
          <w:rFonts w:eastAsia="Times New Roman"/>
        </w:rPr>
        <w:t xml:space="preserve">Central to my analysis </w:t>
      </w:r>
      <w:r>
        <w:rPr>
          <w:rFonts w:eastAsia="Times New Roman"/>
        </w:rPr>
        <w:t xml:space="preserve">is </w:t>
      </w:r>
      <w:r w:rsidRPr="00B70D92">
        <w:rPr>
          <w:rFonts w:eastAsia="Times New Roman"/>
        </w:rPr>
        <w:t xml:space="preserve">an engagement with </w:t>
      </w:r>
      <w:r>
        <w:rPr>
          <w:rFonts w:eastAsia="Times New Roman"/>
        </w:rPr>
        <w:t xml:space="preserve">Ann Laura </w:t>
      </w:r>
      <w:proofErr w:type="spellStart"/>
      <w:r>
        <w:rPr>
          <w:rFonts w:eastAsia="Times New Roman"/>
        </w:rPr>
        <w:t>Stoler’s</w:t>
      </w:r>
      <w:proofErr w:type="spellEnd"/>
      <w:r>
        <w:rPr>
          <w:rFonts w:eastAsia="Times New Roman"/>
        </w:rPr>
        <w:t xml:space="preserve"> </w:t>
      </w:r>
      <w:r>
        <w:t>call for a methodological shift in approaching historical sources - a move away from reading against the grain, which she argues is a form of critical data mining,</w:t>
      </w:r>
      <w:r w:rsidRPr="00CB0266">
        <w:t xml:space="preserve"> </w:t>
      </w:r>
      <w:r>
        <w:t>and towards a “reading along the grain,” an immersive approach that allows the historian to understand the pulse of each source, which dictates the logic of its content.</w:t>
      </w:r>
      <w:r w:rsidRPr="00B70D92">
        <w:t xml:space="preserve"> </w:t>
      </w:r>
      <w:r>
        <w:t>This chapter engages with the accumulation of conflicting narratives about the Gulistan harem—descriptions, assessments and anecdotes—in order to examine what they reveal about the tensions between various forms of knowledge production and the divergent interpretations of everyday life that underwrote them.</w:t>
      </w:r>
    </w:p>
    <w:p w14:paraId="2B092644" w14:textId="77777777" w:rsidR="00F34A03" w:rsidRPr="00CB0266" w:rsidRDefault="00F34A03" w:rsidP="00F34A03">
      <w:pPr>
        <w:spacing w:line="360" w:lineRule="auto"/>
        <w:jc w:val="both"/>
        <w:rPr>
          <w:b/>
        </w:rPr>
      </w:pPr>
    </w:p>
    <w:p w14:paraId="210A8BF0" w14:textId="5E46432C" w:rsidR="00020EBD" w:rsidRDefault="009F447F" w:rsidP="002C3258">
      <w:pPr>
        <w:widowControl w:val="0"/>
        <w:autoSpaceDE w:val="0"/>
        <w:autoSpaceDN w:val="0"/>
        <w:adjustRightInd w:val="0"/>
        <w:spacing w:after="240" w:line="360" w:lineRule="auto"/>
        <w:jc w:val="both"/>
      </w:pPr>
      <w:r>
        <w:t>Finally,</w:t>
      </w:r>
      <w:r w:rsidR="00F34A03">
        <w:t xml:space="preserve"> </w:t>
      </w:r>
      <w:r>
        <w:t>C</w:t>
      </w:r>
      <w:r w:rsidR="00F34A03">
        <w:t xml:space="preserve">hapter </w:t>
      </w:r>
      <w:r>
        <w:t>V attempts</w:t>
      </w:r>
      <w:r w:rsidR="00F34A03" w:rsidRPr="004D2E5A">
        <w:t xml:space="preserve"> to trace what happened to the constituents of Nasir al-Din Shah’s harem after his assassination in 1896, following which the institution was disbanded</w:t>
      </w:r>
      <w:r w:rsidR="00F34A03">
        <w:t>.</w:t>
      </w:r>
      <w:r w:rsidR="00F34A03" w:rsidRPr="004D2E5A">
        <w:t xml:space="preserve"> </w:t>
      </w:r>
      <w:r w:rsidR="00F34A03">
        <w:t xml:space="preserve">While there is little historical scholarship on the afterlife of harem </w:t>
      </w:r>
      <w:r>
        <w:t>residents</w:t>
      </w:r>
      <w:r w:rsidR="00F34A03">
        <w:t xml:space="preserve"> in the wake of </w:t>
      </w:r>
      <w:r w:rsidR="00F34A03" w:rsidRPr="004D2E5A">
        <w:t>Muzaffar al-Din Shah t</w:t>
      </w:r>
      <w:r w:rsidR="00F34A03">
        <w:t>aking</w:t>
      </w:r>
      <w:r w:rsidR="00F34A03" w:rsidRPr="004D2E5A">
        <w:t xml:space="preserve"> the throne</w:t>
      </w:r>
      <w:r w:rsidR="00F34A03">
        <w:t>, the little</w:t>
      </w:r>
      <w:r w:rsidR="00F34A03" w:rsidRPr="004D2E5A">
        <w:t xml:space="preserve"> we do know paints a grim picture of loneliness and poverty for many of </w:t>
      </w:r>
      <w:r w:rsidR="00F34A03">
        <w:t>Nasir al-Din Shah’s wives and daughters</w:t>
      </w:r>
      <w:r w:rsidR="00F34A03" w:rsidRPr="004D2E5A">
        <w:t>.</w:t>
      </w:r>
      <w:r w:rsidR="00F34A03" w:rsidRPr="001A5E4B">
        <w:t xml:space="preserve"> </w:t>
      </w:r>
      <w:r w:rsidR="00F34A03">
        <w:t>However, some of the</w:t>
      </w:r>
      <w:r w:rsidR="00F34A03" w:rsidRPr="00506D53">
        <w:t xml:space="preserve"> key court servants and performers</w:t>
      </w:r>
      <w:r w:rsidR="00F34A03">
        <w:t xml:space="preserve"> </w:t>
      </w:r>
      <w:r>
        <w:t>fared</w:t>
      </w:r>
      <w:r w:rsidR="00F34A03">
        <w:t xml:space="preserve"> better outside</w:t>
      </w:r>
      <w:r w:rsidR="00F34A03" w:rsidRPr="00506D53">
        <w:t xml:space="preserve">. </w:t>
      </w:r>
      <w:r w:rsidR="00F34A03">
        <w:t xml:space="preserve">For example, </w:t>
      </w:r>
      <w:r w:rsidR="00AA2F46">
        <w:t>a</w:t>
      </w:r>
      <w:r w:rsidR="00F34A03">
        <w:t>fter the</w:t>
      </w:r>
      <w:r w:rsidR="00F34A03" w:rsidRPr="00506D53">
        <w:t xml:space="preserve"> disbanding of the Gulistan </w:t>
      </w:r>
      <w:proofErr w:type="spellStart"/>
      <w:r w:rsidR="00F34A03" w:rsidRPr="00506D53">
        <w:rPr>
          <w:i/>
          <w:iCs/>
        </w:rPr>
        <w:t>andarun</w:t>
      </w:r>
      <w:proofErr w:type="spellEnd"/>
      <w:r w:rsidR="00F34A03" w:rsidRPr="00506D53">
        <w:t xml:space="preserve">, harem entertainers were amongst the most skilled individuals who were evicted, and many were able to use the training they had acquired in the harem to make comfortable lives for themselves </w:t>
      </w:r>
      <w:r w:rsidR="00F34A03">
        <w:t>as key figures in the developing entertainment district of downtown Tehran during the first decades of the 20</w:t>
      </w:r>
      <w:r w:rsidR="00F34A03" w:rsidRPr="005A68B7">
        <w:rPr>
          <w:vertAlign w:val="superscript"/>
        </w:rPr>
        <w:t>th</w:t>
      </w:r>
      <w:r w:rsidR="00F34A03">
        <w:t xml:space="preserve"> century. Similarly, many of the servants, who had developed relationships with the adjacent Tehran Bazar merchants, were able to rely on their networks to earn lucrative incomes during and after the constitutional period and became part of the </w:t>
      </w:r>
      <w:proofErr w:type="spellStart"/>
      <w:r w:rsidR="00F34A03" w:rsidRPr="001A5E4B">
        <w:rPr>
          <w:i/>
        </w:rPr>
        <w:t>bazari</w:t>
      </w:r>
      <w:proofErr w:type="spellEnd"/>
      <w:r w:rsidR="00F34A03" w:rsidRPr="001A5E4B">
        <w:rPr>
          <w:i/>
        </w:rPr>
        <w:t xml:space="preserve"> </w:t>
      </w:r>
      <w:r w:rsidR="00F34A03">
        <w:t>class</w:t>
      </w:r>
      <w:r w:rsidR="00F34A03" w:rsidRPr="00506D53">
        <w:t xml:space="preserve">. </w:t>
      </w:r>
      <w:r>
        <w:t>This final chapter thus offers an</w:t>
      </w:r>
      <w:r w:rsidR="00F34A03">
        <w:t xml:space="preserve"> account of the afterlife of this particular class of former court servants, and their trajectories during the constitutional era and its immediate aftermath.</w:t>
      </w:r>
    </w:p>
    <w:sectPr w:rsidR="00020EBD" w:rsidSect="00C31DDB">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5707" w14:textId="77777777" w:rsidR="003412D7" w:rsidRDefault="003412D7" w:rsidP="00F34A03">
      <w:r>
        <w:separator/>
      </w:r>
    </w:p>
  </w:endnote>
  <w:endnote w:type="continuationSeparator" w:id="0">
    <w:p w14:paraId="02F76DAF" w14:textId="77777777" w:rsidR="003412D7" w:rsidRDefault="003412D7" w:rsidP="00F3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D391" w14:textId="77777777" w:rsidR="003412D7" w:rsidRDefault="003412D7" w:rsidP="00F34A03">
      <w:r>
        <w:separator/>
      </w:r>
    </w:p>
  </w:footnote>
  <w:footnote w:type="continuationSeparator" w:id="0">
    <w:p w14:paraId="01158B0C" w14:textId="77777777" w:rsidR="003412D7" w:rsidRDefault="003412D7" w:rsidP="00F34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E141" w14:textId="1F9F6A18" w:rsidR="002C3258" w:rsidRDefault="002C3258">
    <w:pPr>
      <w:pStyle w:val="Header"/>
    </w:pPr>
    <w:r>
      <w:t xml:space="preserve">Leila </w:t>
    </w:r>
    <w:proofErr w:type="spellStart"/>
    <w:r>
      <w:t>Pourtavaf</w:t>
    </w:r>
    <w:proofErr w:type="spellEnd"/>
  </w:p>
  <w:p w14:paraId="41B5D670" w14:textId="45F4E01B" w:rsidR="002C3258" w:rsidRDefault="002C3258">
    <w:pPr>
      <w:pStyle w:val="Header"/>
    </w:pPr>
    <w:r>
      <w:t>Manuscript Description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03"/>
    <w:rsid w:val="00020EBD"/>
    <w:rsid w:val="00167621"/>
    <w:rsid w:val="001E270B"/>
    <w:rsid w:val="00294AD3"/>
    <w:rsid w:val="002C3258"/>
    <w:rsid w:val="002E46EC"/>
    <w:rsid w:val="00303177"/>
    <w:rsid w:val="003040D2"/>
    <w:rsid w:val="003412D7"/>
    <w:rsid w:val="003D5EF9"/>
    <w:rsid w:val="00530039"/>
    <w:rsid w:val="005B7F9D"/>
    <w:rsid w:val="006278FF"/>
    <w:rsid w:val="007402FE"/>
    <w:rsid w:val="008105DD"/>
    <w:rsid w:val="009D3D73"/>
    <w:rsid w:val="009F447F"/>
    <w:rsid w:val="00AA2F46"/>
    <w:rsid w:val="00B70216"/>
    <w:rsid w:val="00B71308"/>
    <w:rsid w:val="00CB1910"/>
    <w:rsid w:val="00DC24DE"/>
    <w:rsid w:val="00EA5E5C"/>
    <w:rsid w:val="00F34A03"/>
    <w:rsid w:val="00F67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3DC5198"/>
  <w15:chartTrackingRefBased/>
  <w15:docId w15:val="{AB68BED9-6582-1043-A0B2-CCA6BBB1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03"/>
    <w:rPr>
      <w:rFonts w:ascii="Times New Roman" w:eastAsiaTheme="minorEastAsia" w:hAnsi="Times New Roman" w:cs="Times New Roman"/>
    </w:rPr>
  </w:style>
  <w:style w:type="paragraph" w:styleId="Heading1">
    <w:name w:val="heading 1"/>
    <w:basedOn w:val="Normal"/>
    <w:link w:val="Heading1Char"/>
    <w:uiPriority w:val="9"/>
    <w:qFormat/>
    <w:rsid w:val="00F34A03"/>
    <w:pPr>
      <w:jc w:val="center"/>
      <w:outlineLvl w:val="0"/>
    </w:pPr>
    <w:rPr>
      <w:rFonts w:ascii="Times" w:hAnsi="Times" w:cstheme="minorBidi"/>
      <w:b/>
      <w:bCs/>
      <w:kern w:val="36"/>
      <w:lang w:val="en-CA"/>
    </w:rPr>
  </w:style>
  <w:style w:type="paragraph" w:styleId="Heading2">
    <w:name w:val="heading 2"/>
    <w:basedOn w:val="Normal"/>
    <w:next w:val="Normal"/>
    <w:link w:val="Heading2Char"/>
    <w:uiPriority w:val="9"/>
    <w:semiHidden/>
    <w:unhideWhenUsed/>
    <w:qFormat/>
    <w:rsid w:val="00F34A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A03"/>
    <w:rPr>
      <w:rFonts w:ascii="Times" w:eastAsiaTheme="minorEastAsia" w:hAnsi="Times"/>
      <w:b/>
      <w:bCs/>
      <w:kern w:val="36"/>
      <w:lang w:val="en-CA"/>
    </w:rPr>
  </w:style>
  <w:style w:type="character" w:customStyle="1" w:styleId="Heading2Char">
    <w:name w:val="Heading 2 Char"/>
    <w:basedOn w:val="DefaultParagraphFont"/>
    <w:link w:val="Heading2"/>
    <w:uiPriority w:val="9"/>
    <w:semiHidden/>
    <w:rsid w:val="00F34A03"/>
    <w:rPr>
      <w:rFonts w:asciiTheme="majorHAnsi" w:eastAsiaTheme="majorEastAsia" w:hAnsiTheme="majorHAnsi" w:cstheme="majorBidi"/>
      <w:color w:val="2F5496" w:themeColor="accent1" w:themeShade="BF"/>
      <w:sz w:val="26"/>
      <w:szCs w:val="26"/>
    </w:rPr>
  </w:style>
  <w:style w:type="character" w:customStyle="1" w:styleId="ImageCaption">
    <w:name w:val="Image Caption"/>
    <w:basedOn w:val="DefaultParagraphFont"/>
    <w:uiPriority w:val="1"/>
    <w:qFormat/>
    <w:rsid w:val="00F34A03"/>
    <w:rPr>
      <w:rFonts w:ascii="Times New Roman" w:hAnsi="Times New Roman"/>
      <w:sz w:val="20"/>
      <w:szCs w:val="20"/>
    </w:rPr>
  </w:style>
  <w:style w:type="paragraph" w:styleId="ListParagraph">
    <w:name w:val="List Paragraph"/>
    <w:basedOn w:val="Normal"/>
    <w:uiPriority w:val="34"/>
    <w:qFormat/>
    <w:rsid w:val="00F34A03"/>
    <w:pPr>
      <w:ind w:left="720"/>
      <w:contextualSpacing/>
    </w:pPr>
  </w:style>
  <w:style w:type="character" w:customStyle="1" w:styleId="textexposedshow">
    <w:name w:val="text_exposed_show"/>
    <w:basedOn w:val="DefaultParagraphFont"/>
    <w:rsid w:val="00F34A03"/>
  </w:style>
  <w:style w:type="character" w:customStyle="1" w:styleId="4n-j">
    <w:name w:val="_4n-j"/>
    <w:basedOn w:val="DefaultParagraphFont"/>
    <w:rsid w:val="00F34A03"/>
  </w:style>
  <w:style w:type="character" w:styleId="FootnoteReference">
    <w:name w:val="footnote reference"/>
    <w:basedOn w:val="DefaultParagraphFont"/>
    <w:uiPriority w:val="99"/>
    <w:unhideWhenUsed/>
    <w:rsid w:val="00F34A03"/>
    <w:rPr>
      <w:vertAlign w:val="superscript"/>
    </w:rPr>
  </w:style>
  <w:style w:type="paragraph" w:styleId="FootnoteText">
    <w:name w:val="footnote text"/>
    <w:basedOn w:val="Normal"/>
    <w:link w:val="FootnoteTextChar"/>
    <w:uiPriority w:val="99"/>
    <w:unhideWhenUsed/>
    <w:rsid w:val="00F34A03"/>
    <w:rPr>
      <w:rFonts w:eastAsia="Times New Roman"/>
      <w:sz w:val="20"/>
      <w:szCs w:val="20"/>
      <w:lang w:eastAsia="ja-JP"/>
    </w:rPr>
  </w:style>
  <w:style w:type="character" w:customStyle="1" w:styleId="FootnoteTextChar">
    <w:name w:val="Footnote Text Char"/>
    <w:basedOn w:val="DefaultParagraphFont"/>
    <w:link w:val="FootnoteText"/>
    <w:uiPriority w:val="99"/>
    <w:rsid w:val="00F34A03"/>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F34A03"/>
    <w:rPr>
      <w:color w:val="0000FF"/>
      <w:u w:val="single"/>
    </w:rPr>
  </w:style>
  <w:style w:type="character" w:customStyle="1" w:styleId="date1">
    <w:name w:val="date1"/>
    <w:basedOn w:val="DefaultParagraphFont"/>
    <w:rsid w:val="00F34A03"/>
  </w:style>
  <w:style w:type="character" w:customStyle="1" w:styleId="ff1">
    <w:name w:val="ff1"/>
    <w:basedOn w:val="DefaultParagraphFont"/>
    <w:rsid w:val="00F34A03"/>
  </w:style>
  <w:style w:type="character" w:styleId="FollowedHyperlink">
    <w:name w:val="FollowedHyperlink"/>
    <w:basedOn w:val="DefaultParagraphFont"/>
    <w:uiPriority w:val="99"/>
    <w:semiHidden/>
    <w:unhideWhenUsed/>
    <w:rsid w:val="00EA5E5C"/>
    <w:rPr>
      <w:color w:val="954F72" w:themeColor="followedHyperlink"/>
      <w:u w:val="single"/>
    </w:rPr>
  </w:style>
  <w:style w:type="paragraph" w:styleId="Header">
    <w:name w:val="header"/>
    <w:basedOn w:val="Normal"/>
    <w:link w:val="HeaderChar"/>
    <w:uiPriority w:val="99"/>
    <w:unhideWhenUsed/>
    <w:rsid w:val="00EA5E5C"/>
    <w:pPr>
      <w:tabs>
        <w:tab w:val="center" w:pos="4680"/>
        <w:tab w:val="right" w:pos="9360"/>
      </w:tabs>
    </w:pPr>
  </w:style>
  <w:style w:type="character" w:customStyle="1" w:styleId="HeaderChar">
    <w:name w:val="Header Char"/>
    <w:basedOn w:val="DefaultParagraphFont"/>
    <w:link w:val="Header"/>
    <w:uiPriority w:val="99"/>
    <w:rsid w:val="00EA5E5C"/>
    <w:rPr>
      <w:rFonts w:ascii="Times New Roman" w:eastAsiaTheme="minorEastAsia" w:hAnsi="Times New Roman" w:cs="Times New Roman"/>
    </w:rPr>
  </w:style>
  <w:style w:type="paragraph" w:styleId="Footer">
    <w:name w:val="footer"/>
    <w:basedOn w:val="Normal"/>
    <w:link w:val="FooterChar"/>
    <w:uiPriority w:val="99"/>
    <w:unhideWhenUsed/>
    <w:rsid w:val="00EA5E5C"/>
    <w:pPr>
      <w:tabs>
        <w:tab w:val="center" w:pos="4680"/>
        <w:tab w:val="right" w:pos="9360"/>
      </w:tabs>
    </w:pPr>
  </w:style>
  <w:style w:type="character" w:customStyle="1" w:styleId="FooterChar">
    <w:name w:val="Footer Char"/>
    <w:basedOn w:val="DefaultParagraphFont"/>
    <w:link w:val="Footer"/>
    <w:uiPriority w:val="99"/>
    <w:rsid w:val="00EA5E5C"/>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9D3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1449</Words>
  <Characters>7993</Characters>
  <Application>Microsoft Office Word</Application>
  <DocSecurity>0</DocSecurity>
  <Lines>120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Pourtavaf</dc:creator>
  <cp:keywords/>
  <dc:description/>
  <cp:lastModifiedBy>Leila Pourtavaf</cp:lastModifiedBy>
  <cp:revision>12</cp:revision>
  <dcterms:created xsi:type="dcterms:W3CDTF">2022-07-31T04:13:00Z</dcterms:created>
  <dcterms:modified xsi:type="dcterms:W3CDTF">2022-08-13T09:23:00Z</dcterms:modified>
</cp:coreProperties>
</file>